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4" w:rsidRDefault="008D5A54" w:rsidP="008D5A5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54" w:rsidRDefault="008D5A54" w:rsidP="008D5A54">
      <w:pPr>
        <w:jc w:val="center"/>
      </w:pPr>
    </w:p>
    <w:p w:rsidR="008D5A54" w:rsidRDefault="008D5A54" w:rsidP="008D5A5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8D5A54" w:rsidRDefault="008D5A54" w:rsidP="008D5A5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8D5A54" w:rsidRDefault="008D5A54" w:rsidP="008D5A5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D5A54" w:rsidRDefault="008D5A54" w:rsidP="008D5A54">
      <w:pPr>
        <w:pStyle w:val="2"/>
        <w:spacing w:after="0" w:line="240" w:lineRule="auto"/>
        <w:jc w:val="center"/>
        <w:rPr>
          <w:spacing w:val="0"/>
        </w:rPr>
      </w:pPr>
    </w:p>
    <w:p w:rsidR="008D5A54" w:rsidRDefault="008D5A54" w:rsidP="008D5A5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D5A54" w:rsidRDefault="008D5A54" w:rsidP="008D5A54"/>
    <w:p w:rsidR="008D5A54" w:rsidRDefault="008D5A54" w:rsidP="008D5A54"/>
    <w:p w:rsidR="008D5A54" w:rsidRDefault="008D5A54" w:rsidP="008D5A5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D0E98">
        <w:rPr>
          <w:spacing w:val="0"/>
        </w:rPr>
        <w:t xml:space="preserve"> 19.09.2017</w:t>
      </w:r>
      <w:r>
        <w:rPr>
          <w:spacing w:val="0"/>
        </w:rPr>
        <w:t xml:space="preserve"> №</w:t>
      </w:r>
      <w:r w:rsidR="00ED0E98">
        <w:rPr>
          <w:spacing w:val="0"/>
        </w:rPr>
        <w:t xml:space="preserve"> ПОС.03-1286/17</w:t>
      </w:r>
      <w:r>
        <w:rPr>
          <w:spacing w:val="0"/>
        </w:rPr>
        <w:t xml:space="preserve"> </w:t>
      </w:r>
    </w:p>
    <w:p w:rsidR="008D5A54" w:rsidRDefault="008D5A54" w:rsidP="008D5A5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D2118" w:rsidRDefault="003D2118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Pr="001002A8" w:rsidRDefault="006B2105" w:rsidP="006B2105">
      <w:pPr>
        <w:jc w:val="both"/>
      </w:pPr>
      <w:r>
        <w:t>«</w:t>
      </w:r>
      <w:r w:rsidRPr="006B2105">
        <w:t>Развитие дорожного хозяйства 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7A12" w:rsidRPr="00B27A12">
        <w:t xml:space="preserve">решением </w:t>
      </w:r>
      <w:proofErr w:type="spellStart"/>
      <w:r w:rsidR="00B27A12" w:rsidRPr="00B27A12">
        <w:t>Переславль-Залесской</w:t>
      </w:r>
      <w:proofErr w:type="spellEnd"/>
      <w:r w:rsidR="00B27A12" w:rsidRPr="00B27A12">
        <w:t xml:space="preserve"> городской Думы от </w:t>
      </w:r>
      <w:r w:rsidR="00D05732">
        <w:t>24.08.2017 № 71</w:t>
      </w:r>
      <w:r w:rsidR="00B27A12" w:rsidRPr="00B27A12">
        <w:t xml:space="preserve"> «О внесении изменений в решение </w:t>
      </w:r>
      <w:proofErr w:type="spellStart"/>
      <w:r w:rsidR="00B27A12" w:rsidRPr="00B27A12">
        <w:t>Переславль-Залесской</w:t>
      </w:r>
      <w:proofErr w:type="spellEnd"/>
      <w:r w:rsidR="00B27A12" w:rsidRPr="00B27A12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>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147078">
        <w:t>, от 04.08.2017 №ПОС.03-1058/17</w:t>
      </w:r>
      <w:r w:rsidR="00C01A9C">
        <w:t>)</w:t>
      </w:r>
      <w:r>
        <w:t xml:space="preserve">, следующие изменения: </w:t>
      </w:r>
      <w:proofErr w:type="gramEnd"/>
    </w:p>
    <w:p w:rsidR="001243A3" w:rsidRDefault="005022CA" w:rsidP="00B27A12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Pr="005022CA">
        <w:t>паспорте</w:t>
      </w:r>
      <w:proofErr w:type="gramEnd"/>
      <w:r w:rsidRPr="005022CA">
        <w:t xml:space="preserve"> муниципальной программы </w:t>
      </w:r>
      <w:r w:rsidR="00B27A12">
        <w:t>п</w:t>
      </w:r>
      <w:r w:rsidR="001243A3">
        <w:t>озицию «Объем финансирования муниципальной программы»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2D626F" w:rsidTr="008D5A54">
        <w:trPr>
          <w:trHeight w:val="1208"/>
        </w:trPr>
        <w:tc>
          <w:tcPr>
            <w:tcW w:w="1763" w:type="pct"/>
          </w:tcPr>
          <w:p w:rsidR="00175973" w:rsidRPr="002D626F" w:rsidRDefault="00175973" w:rsidP="0016472F">
            <w:r w:rsidRPr="002D626F">
              <w:t>Объём финансирования муниципальной программы</w:t>
            </w:r>
          </w:p>
          <w:p w:rsidR="00175973" w:rsidRPr="002D626F" w:rsidRDefault="00175973" w:rsidP="0016472F">
            <w:pPr>
              <w:jc w:val="right"/>
            </w:pPr>
          </w:p>
        </w:tc>
        <w:tc>
          <w:tcPr>
            <w:tcW w:w="3237" w:type="pct"/>
          </w:tcPr>
          <w:p w:rsidR="00175973" w:rsidRDefault="00175973" w:rsidP="00175973">
            <w:pPr>
              <w:ind w:firstLine="540"/>
              <w:jc w:val="both"/>
            </w:pPr>
            <w:r>
              <w:t>557 340,0 тыс. руб.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областного бюджета – 226 585,1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городского бюджета – 269 699,9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в том числе по годам:</w:t>
            </w:r>
          </w:p>
          <w:p w:rsidR="00175973" w:rsidRDefault="00175973" w:rsidP="00175973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областного бюджета – 36 587,0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городского бюджета – 37 747,1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внебюджетные источники – 3 300,000 тыс. руб.</w:t>
            </w:r>
          </w:p>
          <w:p w:rsidR="00175973" w:rsidRDefault="00175973" w:rsidP="00175973">
            <w:pPr>
              <w:ind w:firstLine="540"/>
              <w:jc w:val="both"/>
            </w:pPr>
          </w:p>
          <w:p w:rsidR="00175973" w:rsidRDefault="00175973" w:rsidP="00175973">
            <w:pPr>
              <w:ind w:firstLine="540"/>
              <w:jc w:val="both"/>
            </w:pPr>
            <w:r>
              <w:t>2017 г.- 230 909,4 тыс. руб., в том числе:</w:t>
            </w:r>
          </w:p>
          <w:p w:rsidR="00175973" w:rsidRDefault="00175973" w:rsidP="008D5A54">
            <w:pPr>
              <w:ind w:left="458" w:firstLine="599"/>
              <w:jc w:val="both"/>
            </w:pPr>
            <w:r>
              <w:t xml:space="preserve">  - средства областного бюджета – 126 592,9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городского бюджета – 67 056,5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внебюджетные источники – 37 260,0 тыс. руб.</w:t>
            </w:r>
          </w:p>
          <w:p w:rsidR="00175973" w:rsidRDefault="00175973" w:rsidP="00175973">
            <w:pPr>
              <w:ind w:firstLine="540"/>
              <w:jc w:val="both"/>
            </w:pPr>
          </w:p>
          <w:p w:rsidR="00175973" w:rsidRDefault="00175973" w:rsidP="00175973">
            <w:pPr>
              <w:ind w:firstLine="540"/>
              <w:jc w:val="both"/>
            </w:pPr>
            <w:r>
              <w:lastRenderedPageBreak/>
              <w:t>2018 г. – 82 415,5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областного бюджета – 38 436,6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городского бюджета – 23 483,9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внебюджетные источники – 20 495,0 тыс. руб.</w:t>
            </w:r>
          </w:p>
          <w:p w:rsidR="00175973" w:rsidRDefault="00175973" w:rsidP="00175973">
            <w:pPr>
              <w:ind w:firstLine="540"/>
              <w:jc w:val="both"/>
            </w:pPr>
          </w:p>
          <w:p w:rsidR="00175973" w:rsidRDefault="00175973" w:rsidP="00175973">
            <w:pPr>
              <w:ind w:firstLine="540"/>
              <w:jc w:val="both"/>
            </w:pPr>
            <w:r>
              <w:t>2019 г. – 67 718,6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областного бюджета – 24 968,6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 - средства городского бюджета – 42 750,0 тыс. руб.</w:t>
            </w:r>
          </w:p>
          <w:p w:rsidR="00175973" w:rsidRDefault="00175973" w:rsidP="00175973">
            <w:pPr>
              <w:ind w:firstLine="540"/>
              <w:jc w:val="both"/>
            </w:pPr>
          </w:p>
          <w:p w:rsidR="00175973" w:rsidRDefault="00175973" w:rsidP="00175973">
            <w:pPr>
              <w:ind w:firstLine="540"/>
              <w:jc w:val="both"/>
            </w:pPr>
            <w:r>
              <w:t>2020 г.- 98 662,4 тыс. руб., в том числе:</w:t>
            </w:r>
          </w:p>
          <w:p w:rsidR="00175973" w:rsidRPr="002D626F" w:rsidRDefault="00175973" w:rsidP="00175973">
            <w:pPr>
              <w:ind w:hanging="50"/>
              <w:jc w:val="both"/>
            </w:pPr>
            <w:r>
              <w:t xml:space="preserve"> - средства городского бюджета – 98 662,4 тыс. руб.</w:t>
            </w:r>
          </w:p>
        </w:tc>
      </w:tr>
    </w:tbl>
    <w:p w:rsidR="00175973" w:rsidRDefault="00175973" w:rsidP="00B27A12">
      <w:pPr>
        <w:pStyle w:val="a8"/>
        <w:ind w:left="0" w:firstLine="567"/>
        <w:jc w:val="both"/>
      </w:pPr>
    </w:p>
    <w:p w:rsidR="00EB762C" w:rsidRDefault="00B27A12" w:rsidP="00483F76">
      <w:pPr>
        <w:ind w:firstLine="540"/>
        <w:jc w:val="both"/>
      </w:pPr>
      <w:r>
        <w:t>1.2</w:t>
      </w:r>
      <w:r w:rsidR="000C6093">
        <w:t xml:space="preserve">. </w:t>
      </w:r>
      <w:r w:rsidR="00175973" w:rsidRPr="00175973">
        <w:t xml:space="preserve">Раздел IV. «Ресурсное обеспечение муниципальной программы» изложить в следующей редакции: </w:t>
      </w:r>
      <w:r w:rsidR="001243A3">
        <w:t xml:space="preserve"> </w:t>
      </w:r>
    </w:p>
    <w:tbl>
      <w:tblPr>
        <w:tblW w:w="527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1"/>
        <w:gridCol w:w="1386"/>
        <w:gridCol w:w="1253"/>
        <w:gridCol w:w="1249"/>
        <w:gridCol w:w="1269"/>
        <w:gridCol w:w="1311"/>
        <w:gridCol w:w="1134"/>
      </w:tblGrid>
      <w:tr w:rsidR="00EB762C" w:rsidRPr="00F60A94" w:rsidTr="00A64333">
        <w:trPr>
          <w:trHeight w:val="648"/>
        </w:trPr>
        <w:tc>
          <w:tcPr>
            <w:tcW w:w="1238" w:type="pct"/>
            <w:vMerge w:val="restar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686" w:type="pct"/>
            <w:vMerge w:val="restart"/>
          </w:tcPr>
          <w:p w:rsidR="00EB762C" w:rsidRPr="005F6DFD" w:rsidRDefault="00EB762C" w:rsidP="008862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3076" w:type="pct"/>
            <w:gridSpan w:val="5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517AEC" w:rsidRPr="00F60A94" w:rsidTr="00A64333">
        <w:trPr>
          <w:trHeight w:val="461"/>
        </w:trPr>
        <w:tc>
          <w:tcPr>
            <w:tcW w:w="1238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517AEC" w:rsidRPr="00F60A94" w:rsidTr="00A64333"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686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17AEC" w:rsidRPr="00F60A94" w:rsidTr="00A64333">
        <w:trPr>
          <w:trHeight w:val="862"/>
        </w:trPr>
        <w:tc>
          <w:tcPr>
            <w:tcW w:w="1238" w:type="pct"/>
          </w:tcPr>
          <w:p w:rsidR="00EB762C" w:rsidRPr="006958E2" w:rsidRDefault="00EB762C" w:rsidP="008862BB">
            <w:pPr>
              <w:pStyle w:val="a6"/>
              <w:tabs>
                <w:tab w:val="left" w:pos="4962"/>
              </w:tabs>
              <w:jc w:val="both"/>
            </w:pPr>
            <w:r w:rsidRPr="006958E2"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686" w:type="pct"/>
            <w:vAlign w:val="center"/>
          </w:tcPr>
          <w:p w:rsidR="00EB762C" w:rsidRPr="006958E2" w:rsidRDefault="00DE7C52" w:rsidP="00A64333">
            <w:pPr>
              <w:jc w:val="center"/>
            </w:pPr>
            <w:r>
              <w:t>557340,0</w:t>
            </w:r>
          </w:p>
        </w:tc>
        <w:tc>
          <w:tcPr>
            <w:tcW w:w="620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77634,1</w:t>
            </w:r>
          </w:p>
        </w:tc>
        <w:tc>
          <w:tcPr>
            <w:tcW w:w="618" w:type="pct"/>
            <w:vAlign w:val="center"/>
          </w:tcPr>
          <w:p w:rsidR="00EB762C" w:rsidRPr="006958E2" w:rsidRDefault="00DE7C52" w:rsidP="008862BB">
            <w:pPr>
              <w:jc w:val="center"/>
            </w:pPr>
            <w:r>
              <w:t>230909,4</w:t>
            </w:r>
          </w:p>
        </w:tc>
        <w:tc>
          <w:tcPr>
            <w:tcW w:w="628" w:type="pct"/>
            <w:vAlign w:val="center"/>
          </w:tcPr>
          <w:p w:rsidR="00EB762C" w:rsidRPr="006958E2" w:rsidRDefault="00FE35EB" w:rsidP="008862BB">
            <w:pPr>
              <w:jc w:val="center"/>
            </w:pPr>
            <w:r>
              <w:t>82415,5</w:t>
            </w:r>
          </w:p>
        </w:tc>
        <w:tc>
          <w:tcPr>
            <w:tcW w:w="649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67718,6</w:t>
            </w:r>
          </w:p>
        </w:tc>
        <w:tc>
          <w:tcPr>
            <w:tcW w:w="561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98662,4</w:t>
            </w:r>
          </w:p>
        </w:tc>
      </w:tr>
      <w:tr w:rsidR="00517AEC" w:rsidRPr="00F60A94" w:rsidTr="00A64333">
        <w:trPr>
          <w:trHeight w:val="20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FE35EB" w:rsidP="008862BB">
            <w:pPr>
              <w:jc w:val="center"/>
            </w:pPr>
            <w:r>
              <w:t>226585,1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126592,9</w:t>
            </w:r>
          </w:p>
        </w:tc>
        <w:tc>
          <w:tcPr>
            <w:tcW w:w="628" w:type="pct"/>
            <w:vAlign w:val="center"/>
          </w:tcPr>
          <w:p w:rsidR="00EB762C" w:rsidRPr="00410BA6" w:rsidRDefault="00FE35EB" w:rsidP="008862BB">
            <w:pPr>
              <w:jc w:val="center"/>
            </w:pPr>
            <w:r>
              <w:t>38436,6</w:t>
            </w:r>
          </w:p>
        </w:tc>
        <w:tc>
          <w:tcPr>
            <w:tcW w:w="649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24968,6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  <w:r w:rsidR="00FE35EB">
              <w:t>,0</w:t>
            </w:r>
          </w:p>
        </w:tc>
      </w:tr>
      <w:tr w:rsidR="00517AEC" w:rsidRPr="00F60A94" w:rsidTr="00A64333">
        <w:trPr>
          <w:trHeight w:val="155"/>
        </w:trPr>
        <w:tc>
          <w:tcPr>
            <w:tcW w:w="1238" w:type="pct"/>
          </w:tcPr>
          <w:p w:rsidR="00EB762C" w:rsidRPr="00AA5F8F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DE7C52" w:rsidP="008862BB">
            <w:pPr>
              <w:jc w:val="center"/>
            </w:pPr>
            <w:r>
              <w:t>269699,9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3D2A26">
            <w:pPr>
              <w:jc w:val="center"/>
            </w:pPr>
            <w:r>
              <w:t>37747,</w:t>
            </w:r>
            <w:r w:rsidR="003D2A26">
              <w:t>1</w:t>
            </w:r>
          </w:p>
        </w:tc>
        <w:tc>
          <w:tcPr>
            <w:tcW w:w="618" w:type="pct"/>
            <w:vAlign w:val="center"/>
          </w:tcPr>
          <w:p w:rsidR="00EB762C" w:rsidRPr="00410BA6" w:rsidRDefault="00DE7C52" w:rsidP="008862BB">
            <w:pPr>
              <w:jc w:val="center"/>
            </w:pPr>
            <w:r>
              <w:t>67056,5</w:t>
            </w:r>
          </w:p>
        </w:tc>
        <w:tc>
          <w:tcPr>
            <w:tcW w:w="62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23483,9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98662,4</w:t>
            </w:r>
          </w:p>
        </w:tc>
      </w:tr>
      <w:tr w:rsidR="00517AEC" w:rsidRPr="00F60A94" w:rsidTr="00A64333">
        <w:trPr>
          <w:trHeight w:val="327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  <w:r w:rsidR="00FE35EB">
              <w:t>,0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  <w:r w:rsidR="00FE35EB">
              <w:t>,0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2B7C03" w:rsidRDefault="00FE35EB" w:rsidP="00FE35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7C03">
              <w:rPr>
                <w:b/>
              </w:rPr>
              <w:t>Итого по муниципальной программе</w:t>
            </w:r>
          </w:p>
        </w:tc>
        <w:tc>
          <w:tcPr>
            <w:tcW w:w="686" w:type="pct"/>
            <w:vAlign w:val="center"/>
          </w:tcPr>
          <w:p w:rsidR="00FE35EB" w:rsidRPr="00FE35EB" w:rsidRDefault="00DE7C52" w:rsidP="00FE35EB">
            <w:pPr>
              <w:jc w:val="center"/>
              <w:rPr>
                <w:b/>
              </w:rPr>
            </w:pPr>
            <w:r>
              <w:rPr>
                <w:b/>
              </w:rPr>
              <w:t>557340,0</w:t>
            </w:r>
          </w:p>
        </w:tc>
        <w:tc>
          <w:tcPr>
            <w:tcW w:w="620" w:type="pct"/>
            <w:vAlign w:val="center"/>
          </w:tcPr>
          <w:p w:rsidR="00FE35EB" w:rsidRPr="00FE35EB" w:rsidRDefault="00FE35EB" w:rsidP="00FE35EB">
            <w:pPr>
              <w:jc w:val="center"/>
              <w:rPr>
                <w:b/>
              </w:rPr>
            </w:pPr>
            <w:r w:rsidRPr="00FE35EB">
              <w:rPr>
                <w:b/>
              </w:rPr>
              <w:t>77634,1</w:t>
            </w:r>
          </w:p>
        </w:tc>
        <w:tc>
          <w:tcPr>
            <w:tcW w:w="618" w:type="pct"/>
            <w:vAlign w:val="center"/>
          </w:tcPr>
          <w:p w:rsidR="00FE35EB" w:rsidRPr="00FE35EB" w:rsidRDefault="00DE7C52" w:rsidP="00FE35EB">
            <w:pPr>
              <w:jc w:val="center"/>
              <w:rPr>
                <w:b/>
              </w:rPr>
            </w:pPr>
            <w:r>
              <w:rPr>
                <w:b/>
              </w:rPr>
              <w:t>230909,4</w:t>
            </w:r>
          </w:p>
        </w:tc>
        <w:tc>
          <w:tcPr>
            <w:tcW w:w="628" w:type="pct"/>
            <w:vAlign w:val="center"/>
          </w:tcPr>
          <w:p w:rsidR="00FE35EB" w:rsidRPr="00FE35EB" w:rsidRDefault="00FE35EB" w:rsidP="00FE35EB">
            <w:pPr>
              <w:jc w:val="center"/>
              <w:rPr>
                <w:b/>
              </w:rPr>
            </w:pPr>
            <w:r w:rsidRPr="00FE35EB">
              <w:rPr>
                <w:b/>
              </w:rPr>
              <w:t>82415,5</w:t>
            </w:r>
          </w:p>
        </w:tc>
        <w:tc>
          <w:tcPr>
            <w:tcW w:w="649" w:type="pct"/>
            <w:vAlign w:val="center"/>
          </w:tcPr>
          <w:p w:rsidR="00FE35EB" w:rsidRPr="00B32752" w:rsidRDefault="00FE35EB" w:rsidP="00FE35EB">
            <w:pPr>
              <w:jc w:val="center"/>
              <w:rPr>
                <w:b/>
              </w:rPr>
            </w:pPr>
            <w:r w:rsidRPr="00B32752">
              <w:rPr>
                <w:b/>
              </w:rPr>
              <w:t>67718,6</w:t>
            </w:r>
          </w:p>
        </w:tc>
        <w:tc>
          <w:tcPr>
            <w:tcW w:w="561" w:type="pct"/>
            <w:vAlign w:val="center"/>
          </w:tcPr>
          <w:p w:rsidR="00FE35EB" w:rsidRPr="00B32752" w:rsidRDefault="00FE35EB" w:rsidP="00FE35EB">
            <w:pPr>
              <w:jc w:val="center"/>
              <w:rPr>
                <w:b/>
              </w:rPr>
            </w:pPr>
            <w:r w:rsidRPr="00B32752">
              <w:rPr>
                <w:b/>
              </w:rPr>
              <w:t>98662,4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5F6DFD" w:rsidRDefault="00FE35EB" w:rsidP="00FE35E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226585,1</w:t>
            </w:r>
          </w:p>
        </w:tc>
        <w:tc>
          <w:tcPr>
            <w:tcW w:w="620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126592,9</w:t>
            </w:r>
          </w:p>
        </w:tc>
        <w:tc>
          <w:tcPr>
            <w:tcW w:w="62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38436,6</w:t>
            </w:r>
          </w:p>
        </w:tc>
        <w:tc>
          <w:tcPr>
            <w:tcW w:w="649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24968,6</w:t>
            </w:r>
          </w:p>
        </w:tc>
        <w:tc>
          <w:tcPr>
            <w:tcW w:w="561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0,0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AA5F8F" w:rsidRDefault="00FE35EB" w:rsidP="00FE35E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FE35EB" w:rsidRPr="00410BA6" w:rsidRDefault="00DE7C52" w:rsidP="00FE35EB">
            <w:pPr>
              <w:jc w:val="center"/>
            </w:pPr>
            <w:r>
              <w:t>269699,9</w:t>
            </w:r>
          </w:p>
        </w:tc>
        <w:tc>
          <w:tcPr>
            <w:tcW w:w="620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37747,1</w:t>
            </w:r>
          </w:p>
        </w:tc>
        <w:tc>
          <w:tcPr>
            <w:tcW w:w="618" w:type="pct"/>
            <w:vAlign w:val="center"/>
          </w:tcPr>
          <w:p w:rsidR="00FE35EB" w:rsidRPr="00410BA6" w:rsidRDefault="00DE7C52" w:rsidP="00FE35EB">
            <w:pPr>
              <w:jc w:val="center"/>
            </w:pPr>
            <w:r>
              <w:t>67056,5</w:t>
            </w:r>
          </w:p>
        </w:tc>
        <w:tc>
          <w:tcPr>
            <w:tcW w:w="62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23483,9</w:t>
            </w:r>
          </w:p>
        </w:tc>
        <w:tc>
          <w:tcPr>
            <w:tcW w:w="649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98662,4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5F6DFD" w:rsidRDefault="00FE35EB" w:rsidP="00FE35E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0,0</w:t>
            </w:r>
          </w:p>
        </w:tc>
        <w:tc>
          <w:tcPr>
            <w:tcW w:w="561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0,0</w:t>
            </w:r>
          </w:p>
        </w:tc>
      </w:tr>
    </w:tbl>
    <w:p w:rsidR="006B2105" w:rsidRDefault="006B2105" w:rsidP="00483F76">
      <w:pPr>
        <w:ind w:firstLine="540"/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D30C65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D30C65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2D626F" w:rsidTr="008D5A54">
        <w:trPr>
          <w:trHeight w:val="1208"/>
        </w:trPr>
        <w:tc>
          <w:tcPr>
            <w:tcW w:w="1763" w:type="pct"/>
          </w:tcPr>
          <w:p w:rsidR="00D30C65" w:rsidRPr="002D626F" w:rsidRDefault="00D30C65" w:rsidP="0016472F">
            <w:r w:rsidRPr="002D626F">
              <w:t xml:space="preserve">Объём финансирования </w:t>
            </w:r>
          </w:p>
          <w:p w:rsidR="00D30C65" w:rsidRPr="002D626F" w:rsidRDefault="00D30C65" w:rsidP="0016472F">
            <w:pPr>
              <w:jc w:val="right"/>
            </w:pPr>
          </w:p>
        </w:tc>
        <w:tc>
          <w:tcPr>
            <w:tcW w:w="3237" w:type="pct"/>
          </w:tcPr>
          <w:p w:rsidR="00D30C65" w:rsidRDefault="00D30C65" w:rsidP="0016472F">
            <w:pPr>
              <w:ind w:firstLine="540"/>
              <w:jc w:val="both"/>
            </w:pPr>
            <w:r>
              <w:t>557 340,0 тыс. руб. в том числе:</w:t>
            </w:r>
          </w:p>
          <w:p w:rsidR="00D30C65" w:rsidRDefault="00D30C65" w:rsidP="0016472F">
            <w:pPr>
              <w:ind w:firstLine="540"/>
              <w:jc w:val="both"/>
            </w:pPr>
            <w:r>
              <w:t>- средства областного бюджета – 226 585,1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>- средства городского бюджета – 269 699,9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>в том числе по годам:</w:t>
            </w:r>
          </w:p>
          <w:p w:rsidR="00D30C65" w:rsidRDefault="00D30C65" w:rsidP="0016472F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областного бюджета – 36 587,0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городского бюджета – 37 747,1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внебюджетные источники – 3 300,000 тыс. руб.</w:t>
            </w:r>
          </w:p>
          <w:p w:rsidR="00D30C65" w:rsidRDefault="00D30C65" w:rsidP="0016472F">
            <w:pPr>
              <w:ind w:firstLine="540"/>
              <w:jc w:val="both"/>
            </w:pPr>
          </w:p>
          <w:p w:rsidR="00D30C65" w:rsidRDefault="00D30C65" w:rsidP="0016472F">
            <w:pPr>
              <w:ind w:firstLine="540"/>
              <w:jc w:val="both"/>
            </w:pPr>
            <w:r>
              <w:lastRenderedPageBreak/>
              <w:t>2017 г.- 230 909,4 тыс. руб., в том числе:</w:t>
            </w:r>
          </w:p>
          <w:p w:rsidR="00D30C65" w:rsidRDefault="00D30C65" w:rsidP="008D5A54">
            <w:pPr>
              <w:ind w:left="599" w:firstLine="142"/>
              <w:jc w:val="both"/>
            </w:pPr>
            <w:r>
              <w:t xml:space="preserve">  - средства областного бюджета – 126 592,9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городского бюджета – 67 056,5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внебюджетные источники – 37 260,0 тыс. руб.</w:t>
            </w:r>
          </w:p>
          <w:p w:rsidR="00D30C65" w:rsidRDefault="00D30C65" w:rsidP="0016472F">
            <w:pPr>
              <w:ind w:firstLine="540"/>
              <w:jc w:val="both"/>
            </w:pPr>
          </w:p>
          <w:p w:rsidR="00D30C65" w:rsidRDefault="00D30C65" w:rsidP="0016472F">
            <w:pPr>
              <w:ind w:firstLine="540"/>
              <w:jc w:val="both"/>
            </w:pPr>
            <w:r>
              <w:t>2018 г. – 82 415,5 тыс. руб., в том числе: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областного бюджета – 38 436,6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городского бюджета – 23 483,9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внебюджетные источники – 20 495,0 тыс. руб.</w:t>
            </w:r>
          </w:p>
          <w:p w:rsidR="00D30C65" w:rsidRDefault="00D30C65" w:rsidP="0016472F">
            <w:pPr>
              <w:ind w:firstLine="540"/>
              <w:jc w:val="both"/>
            </w:pPr>
          </w:p>
          <w:p w:rsidR="00D30C65" w:rsidRDefault="00D30C65" w:rsidP="0016472F">
            <w:pPr>
              <w:ind w:firstLine="540"/>
              <w:jc w:val="both"/>
            </w:pPr>
            <w:r>
              <w:t>2019 г. – 67 718,6 тыс. руб., в том числе: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областного бюджета – 24 968,6 тыс. руб.</w:t>
            </w:r>
          </w:p>
          <w:p w:rsidR="00D30C65" w:rsidRDefault="00D30C65" w:rsidP="0016472F">
            <w:pPr>
              <w:ind w:firstLine="540"/>
              <w:jc w:val="both"/>
            </w:pPr>
            <w:r>
              <w:t xml:space="preserve">  - средства городского бюджета – 42 750,0 тыс. руб.</w:t>
            </w:r>
          </w:p>
          <w:p w:rsidR="00D30C65" w:rsidRDefault="00D30C65" w:rsidP="0016472F">
            <w:pPr>
              <w:ind w:firstLine="540"/>
              <w:jc w:val="both"/>
            </w:pPr>
          </w:p>
          <w:p w:rsidR="00D30C65" w:rsidRDefault="00D30C65" w:rsidP="0016472F">
            <w:pPr>
              <w:ind w:firstLine="540"/>
              <w:jc w:val="both"/>
            </w:pPr>
            <w:r>
              <w:t>2020 г.- 98 662,4 тыс. руб., в том числе:</w:t>
            </w:r>
          </w:p>
          <w:p w:rsidR="00D30C65" w:rsidRPr="002D626F" w:rsidRDefault="00D30C65" w:rsidP="0016472F">
            <w:pPr>
              <w:ind w:hanging="50"/>
              <w:jc w:val="both"/>
            </w:pPr>
            <w:r>
              <w:t xml:space="preserve"> - средства городского бюджета – 98 662,4 тыс. руб.</w:t>
            </w:r>
          </w:p>
        </w:tc>
      </w:tr>
    </w:tbl>
    <w:p w:rsidR="00D30C65" w:rsidRDefault="00D30C65" w:rsidP="00483F76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2911AD" w:rsidP="006B2105">
      <w:pPr>
        <w:jc w:val="both"/>
      </w:pPr>
      <w:r>
        <w:t xml:space="preserve">       </w:t>
      </w:r>
      <w:r w:rsidR="009743B9"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       города Переславля-Залесского                                              </w:t>
      </w:r>
      <w:r w:rsidR="008D5A54">
        <w:t xml:space="preserve">             </w:t>
      </w:r>
      <w:r>
        <w:t xml:space="preserve">          </w:t>
      </w:r>
      <w:r w:rsidR="00C01A9C">
        <w:t xml:space="preserve">В.Ю. </w:t>
      </w:r>
      <w:proofErr w:type="spellStart"/>
      <w:r w:rsidR="00C01A9C">
        <w:t>Леженко</w:t>
      </w:r>
      <w:proofErr w:type="spellEnd"/>
    </w:p>
    <w:p w:rsidR="00CB765E" w:rsidRDefault="009743B9" w:rsidP="00D266D9">
      <w:pPr>
        <w:jc w:val="both"/>
      </w:pPr>
      <w:r>
        <w:t xml:space="preserve"> </w:t>
      </w:r>
    </w:p>
    <w:sectPr w:rsidR="00CB765E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243A3"/>
    <w:rsid w:val="00126A45"/>
    <w:rsid w:val="00135FDF"/>
    <w:rsid w:val="001376C8"/>
    <w:rsid w:val="00147078"/>
    <w:rsid w:val="001557EF"/>
    <w:rsid w:val="00175973"/>
    <w:rsid w:val="001768E0"/>
    <w:rsid w:val="00185A03"/>
    <w:rsid w:val="001906FA"/>
    <w:rsid w:val="001E5437"/>
    <w:rsid w:val="00205E9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315285"/>
    <w:rsid w:val="00377900"/>
    <w:rsid w:val="003903D0"/>
    <w:rsid w:val="003973A4"/>
    <w:rsid w:val="003D2118"/>
    <w:rsid w:val="003D2A26"/>
    <w:rsid w:val="003D3773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A3368"/>
    <w:rsid w:val="007B077B"/>
    <w:rsid w:val="007B5094"/>
    <w:rsid w:val="007B5971"/>
    <w:rsid w:val="007E0AAB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66F22"/>
    <w:rsid w:val="009743B9"/>
    <w:rsid w:val="00982713"/>
    <w:rsid w:val="00993B66"/>
    <w:rsid w:val="009A07CE"/>
    <w:rsid w:val="00A03AF7"/>
    <w:rsid w:val="00A431AE"/>
    <w:rsid w:val="00A56672"/>
    <w:rsid w:val="00A62D2B"/>
    <w:rsid w:val="00A64333"/>
    <w:rsid w:val="00A75294"/>
    <w:rsid w:val="00A93606"/>
    <w:rsid w:val="00AA5F8F"/>
    <w:rsid w:val="00AC4B9B"/>
    <w:rsid w:val="00AD6A1A"/>
    <w:rsid w:val="00AF38D9"/>
    <w:rsid w:val="00B247D7"/>
    <w:rsid w:val="00B27A12"/>
    <w:rsid w:val="00B32752"/>
    <w:rsid w:val="00B6700E"/>
    <w:rsid w:val="00B942FB"/>
    <w:rsid w:val="00BC0115"/>
    <w:rsid w:val="00BC11E5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B6B0-883D-4CD6-B93B-1860BB71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2017-09-15T12:56:00Z</cp:lastPrinted>
  <dcterms:created xsi:type="dcterms:W3CDTF">2017-09-19T12:10:00Z</dcterms:created>
  <dcterms:modified xsi:type="dcterms:W3CDTF">2017-09-19T11:11:00Z</dcterms:modified>
</cp:coreProperties>
</file>