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города Переславля-Залесского </w:t>
      </w:r>
      <w:r w:rsidR="00150DF6" w:rsidRPr="00150DF6">
        <w:rPr>
          <w:rFonts w:ascii="Times New Roman" w:hAnsi="Times New Roman" w:cs="Times New Roman"/>
          <w:bCs/>
          <w:sz w:val="26"/>
          <w:szCs w:val="26"/>
        </w:rPr>
        <w:t>от 30.10.2023 № ПОС.03-2781/23</w:t>
      </w:r>
      <w:r w:rsidR="00150D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:rsidR="009B0E8C" w:rsidRDefault="009B0E8C" w:rsidP="009B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2-этажное, площадь 567,8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1660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739C" w:rsidRPr="00E45B22" w:rsidRDefault="009B0E8C" w:rsidP="009B0E8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1 904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Российская Федерация,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округ город Переславль-Залесский, 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Кабанское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070603:274.</w:t>
      </w:r>
    </w:p>
    <w:p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:rsidR="009B0E8C" w:rsidRDefault="009B0E8C" w:rsidP="009B0E8C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(374 кв.м.) 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 в границах зоны с особыми условиями использования территории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защитная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 зона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культурного наследия Церковь Рождества Богородицы, 1824 г. (приказ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Департамента охраны объектов культурного наследия Ярославской области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05.10.2020 № 115 «Об утверждении графического описания местоположения границ защитных зон объектов культурного наследия»).</w:t>
      </w:r>
    </w:p>
    <w:p w:rsidR="009B0E8C" w:rsidRDefault="009B0E8C" w:rsidP="009B0E8C">
      <w:pPr>
        <w:tabs>
          <w:tab w:val="left" w:pos="-411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1 ст. 34.1 Федерального закона от 25.06.2002 № 73-ФЗ «Об объектах культурного наследия (памятниках истории и культуры) народов Российской Федерации» в границах защитной зоны объекта культурного наследия 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строительства и реконструкции линейных объектов.</w:t>
      </w:r>
    </w:p>
    <w:p w:rsidR="009B0E8C" w:rsidRPr="00710F8D" w:rsidRDefault="009B0E8C" w:rsidP="00A323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9B0E8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9B0E8C">
        <w:rPr>
          <w:rFonts w:ascii="Times New Roman" w:hAnsi="Times New Roman" w:cs="Times New Roman"/>
          <w:b/>
          <w:bCs/>
          <w:sz w:val="26"/>
          <w:szCs w:val="26"/>
        </w:rPr>
        <w:t xml:space="preserve"> 01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</w:t>
      </w:r>
      <w:r w:rsidR="009B0E8C">
        <w:rPr>
          <w:rFonts w:ascii="Times New Roman" w:hAnsi="Times New Roman" w:cs="Times New Roman"/>
          <w:b/>
          <w:sz w:val="26"/>
          <w:szCs w:val="26"/>
        </w:rPr>
        <w:t>2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B0E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9B0E8C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9B0E8C">
        <w:rPr>
          <w:b/>
          <w:sz w:val="26"/>
          <w:szCs w:val="26"/>
        </w:rPr>
        <w:t xml:space="preserve"> 01.12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eastAsia="ru-RU"/>
        </w:rPr>
        <w:t>3</w:t>
      </w:r>
      <w:r w:rsidRPr="009E6516">
        <w:rPr>
          <w:sz w:val="26"/>
          <w:szCs w:val="26"/>
        </w:rPr>
        <w:t>,</w:t>
      </w:r>
      <w:r w:rsidR="009B0E8C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:rsidR="009B0E8C" w:rsidRPr="00C74CA6" w:rsidRDefault="009B0E8C" w:rsidP="009B0E8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0E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755 432</w:t>
      </w:r>
      <w:r w:rsidRPr="009B0E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(Семьсот пятьдесят пять тысяч четыреста тридцать два) рубля</w:t>
      </w:r>
      <w:r w:rsidRPr="00633F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422 213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двадцать две тысячи двести тринадцать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с учетом НДС 20%,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333 219 </w:t>
      </w: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Триста </w:t>
      </w:r>
      <w:r w:rsidRPr="00C74CA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три тысячи двести девятнадцать) рублей, НДС не облагается.</w:t>
      </w:r>
    </w:p>
    <w:p w:rsidR="00054442" w:rsidRPr="00C74CA6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CA6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C74CA6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C74CA6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C74CA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:rsidR="008A2717" w:rsidRPr="00C74CA6" w:rsidRDefault="00C74CA6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75 543,2</w:t>
      </w:r>
      <w:r w:rsidR="008A2717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Семьдесят пять</w:t>
      </w:r>
      <w:r w:rsidR="008B1232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тысяч </w:t>
      </w:r>
      <w:r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пятьсот сорок три</w:t>
      </w:r>
      <w:r w:rsidR="008A2717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2</w:t>
      </w:r>
      <w:r w:rsidR="00E878EF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82E5E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C74C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4CA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:rsidR="007B6BC0" w:rsidRPr="00617C4C" w:rsidRDefault="00C74CA6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37 771,6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семь тысяч семьсот семьдесят</w:t>
      </w:r>
      <w:r w:rsidR="000B7F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один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 6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A323F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информационном сообщении, установленной суммы задатка в порядке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A323F4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регистрации Участников </w:t>
      </w:r>
      <w:proofErr w:type="spellStart"/>
      <w:r w:rsidRPr="008D7630">
        <w:rPr>
          <w:rFonts w:ascii="Times New Roman" w:hAnsi="Times New Roman" w:cs="Times New Roman"/>
          <w:b/>
          <w:sz w:val="26"/>
          <w:szCs w:val="26"/>
        </w:rPr>
        <w:t>ЭТП</w:t>
      </w: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ля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участия в аукционе претенденты должны зарегистрироваться на сайте</w:t>
      </w:r>
      <w:r w:rsidR="00A323F4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323F4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:rsidR="007E5B7A" w:rsidRPr="00706C73" w:rsidRDefault="00A323F4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7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:rsidR="007E5B7A" w:rsidRPr="00706C73" w:rsidRDefault="00A323F4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7F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A323F4">
        <w:rPr>
          <w:rFonts w:ascii="Times New Roman" w:hAnsi="Times New Roman" w:cs="Times New Roman"/>
          <w:b/>
          <w:sz w:val="26"/>
          <w:szCs w:val="26"/>
        </w:rPr>
        <w:t>30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27F66">
        <w:rPr>
          <w:rFonts w:ascii="Times New Roman" w:hAnsi="Times New Roman" w:cs="Times New Roman"/>
          <w:b/>
          <w:sz w:val="26"/>
          <w:szCs w:val="26"/>
        </w:rPr>
        <w:t>11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="00A323F4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</w:t>
      </w:r>
      <w:r w:rsidRPr="00F419D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Задаток засчитывается победителю торгов, либо лицу, признанному единственным участником аукциона, в случае, установленном в абзаце 2 пункта 3 </w:t>
      </w:r>
      <w:r w:rsidRPr="00FA6459">
        <w:rPr>
          <w:rFonts w:ascii="Times New Roman" w:hAnsi="Times New Roman" w:cs="Times New Roman"/>
          <w:sz w:val="26"/>
          <w:szCs w:val="26"/>
        </w:rPr>
        <w:lastRenderedPageBreak/>
        <w:t>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Решение о признании аукциона несостоявшимся оформляется протоколом об итогах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37DFA" w:rsidRDefault="00E37DF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E37DFA" w:rsidRDefault="00E37DF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CC6978"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</w:t>
      </w:r>
      <w:r w:rsidR="00222149">
        <w:rPr>
          <w:rFonts w:ascii="Times New Roman" w:hAnsi="Times New Roman" w:cs="Times New Roman"/>
          <w:bCs/>
          <w:sz w:val="26"/>
          <w:szCs w:val="26"/>
        </w:rPr>
        <w:t>у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ю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заявку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A323F4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подтверждает,что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B7FE1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0DF6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14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168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39C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5F786E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262D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232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D5BE9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0E8C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6FDE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3F4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4CA6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97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50E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37DFA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7022-9834-4417-B9B9-7C273647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12</Pages>
  <Words>5100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514</cp:revision>
  <cp:lastPrinted>2023-08-21T10:00:00Z</cp:lastPrinted>
  <dcterms:created xsi:type="dcterms:W3CDTF">2021-11-22T13:04:00Z</dcterms:created>
  <dcterms:modified xsi:type="dcterms:W3CDTF">2023-10-31T06:37:00Z</dcterms:modified>
</cp:coreProperties>
</file>