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4D" w:rsidRPr="00535C4D" w:rsidRDefault="00535C4D" w:rsidP="00535C4D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4D" w:rsidRPr="00535C4D" w:rsidRDefault="00535C4D" w:rsidP="00535C4D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535C4D" w:rsidRPr="00535C4D" w:rsidRDefault="00535C4D" w:rsidP="00535C4D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35C4D" w:rsidRPr="00535C4D" w:rsidRDefault="00535C4D" w:rsidP="00535C4D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535C4D" w:rsidRPr="00535C4D" w:rsidRDefault="00535C4D" w:rsidP="00535C4D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35C4D" w:rsidRPr="00535C4D" w:rsidRDefault="00535C4D" w:rsidP="00535C4D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От</w:t>
      </w:r>
      <w:r w:rsidRPr="00535C4D">
        <w:rPr>
          <w:rFonts w:ascii="Times New Roman" w:hAnsi="Times New Roman" w:cs="Times New Roman"/>
          <w:sz w:val="26"/>
          <w:szCs w:val="26"/>
        </w:rPr>
        <w:tab/>
      </w:r>
      <w:r w:rsidR="002909F4">
        <w:rPr>
          <w:rFonts w:ascii="Times New Roman" w:hAnsi="Times New Roman" w:cs="Times New Roman"/>
          <w:sz w:val="26"/>
          <w:szCs w:val="26"/>
        </w:rPr>
        <w:t>14.09.2020</w:t>
      </w:r>
      <w:r w:rsidRPr="00535C4D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2909F4">
        <w:rPr>
          <w:rFonts w:ascii="Times New Roman" w:hAnsi="Times New Roman" w:cs="Times New Roman"/>
          <w:sz w:val="26"/>
          <w:szCs w:val="26"/>
        </w:rPr>
        <w:t>ПОС.03-1607/20</w:t>
      </w:r>
      <w:bookmarkStart w:id="0" w:name="_GoBack"/>
      <w:bookmarkEnd w:id="0"/>
    </w:p>
    <w:p w:rsidR="00535C4D" w:rsidRPr="00535C4D" w:rsidRDefault="00535C4D" w:rsidP="00535C4D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535C4D" w:rsidRDefault="00535C4D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535C4D" w:rsidRDefault="00535C4D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г.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утвержденную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г.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096975" w:rsidRPr="00302CD1" w:rsidRDefault="00E87B58" w:rsidP="00096975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CD5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РФ, решением 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 w:rsidR="00C52440">
        <w:rPr>
          <w:rFonts w:ascii="Times New Roman" w:hAnsi="Times New Roman" w:cs="Times New Roman"/>
          <w:sz w:val="26"/>
          <w:szCs w:val="26"/>
        </w:rPr>
        <w:t>30</w:t>
      </w:r>
      <w:r w:rsidRPr="00C84281">
        <w:rPr>
          <w:rFonts w:ascii="Times New Roman" w:hAnsi="Times New Roman" w:cs="Times New Roman"/>
          <w:sz w:val="26"/>
          <w:szCs w:val="26"/>
        </w:rPr>
        <w:t>.0</w:t>
      </w:r>
      <w:r w:rsidR="00C52440">
        <w:rPr>
          <w:rFonts w:ascii="Times New Roman" w:hAnsi="Times New Roman" w:cs="Times New Roman"/>
          <w:sz w:val="26"/>
          <w:szCs w:val="26"/>
        </w:rPr>
        <w:t>7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52440">
        <w:rPr>
          <w:rFonts w:ascii="Times New Roman" w:hAnsi="Times New Roman" w:cs="Times New Roman"/>
          <w:sz w:val="26"/>
          <w:szCs w:val="26"/>
        </w:rPr>
        <w:t>55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</w:t>
      </w:r>
      <w:r w:rsidRPr="00302CD1">
        <w:rPr>
          <w:rFonts w:ascii="Times New Roman" w:hAnsi="Times New Roman" w:cs="Times New Roman"/>
          <w:sz w:val="26"/>
          <w:szCs w:val="26"/>
        </w:rPr>
        <w:t>финансирования</w:t>
      </w:r>
      <w:r w:rsidR="00096975" w:rsidRPr="00302CD1">
        <w:rPr>
          <w:rFonts w:ascii="Times New Roman" w:hAnsi="Times New Roman" w:cs="Times New Roman"/>
          <w:sz w:val="26"/>
          <w:szCs w:val="26"/>
        </w:rPr>
        <w:t xml:space="preserve"> и изменения структуры Администрации </w:t>
      </w:r>
      <w:r w:rsidR="00302CD1" w:rsidRPr="00302CD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7959F7">
        <w:rPr>
          <w:rFonts w:ascii="Times New Roman" w:hAnsi="Times New Roman" w:cs="Times New Roman"/>
          <w:sz w:val="26"/>
          <w:szCs w:val="26"/>
        </w:rPr>
        <w:t>,</w:t>
      </w:r>
    </w:p>
    <w:p w:rsidR="00373A2D" w:rsidRPr="00302CD1" w:rsidRDefault="008D6D5C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C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7959F7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7959F7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Внести в городскую целевую программу «Охрана окружающей среды в </w:t>
      </w:r>
      <w:r w:rsidR="007959F7">
        <w:rPr>
          <w:rFonts w:ascii="Times New Roman" w:hAnsi="Times New Roman"/>
          <w:sz w:val="26"/>
          <w:szCs w:val="26"/>
        </w:rPr>
        <w:t xml:space="preserve">    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 xml:space="preserve">, от 04.07.2018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6E11AC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 xml:space="preserve">от 21.11.2018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8F44B5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806D7F">
        <w:rPr>
          <w:rFonts w:ascii="Times New Roman" w:hAnsi="Times New Roman"/>
          <w:sz w:val="26"/>
          <w:szCs w:val="26"/>
        </w:rPr>
        <w:t>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 xml:space="preserve">1271/19, от 07.08.2019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</w:t>
      </w:r>
      <w:r w:rsidR="005C6443">
        <w:rPr>
          <w:rFonts w:ascii="Times New Roman" w:hAnsi="Times New Roman"/>
          <w:sz w:val="26"/>
          <w:szCs w:val="26"/>
        </w:rPr>
        <w:t>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373A2D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 от 21.01.2020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,от 02.04.2020</w:t>
      </w:r>
      <w:r w:rsidR="00D52FF5">
        <w:rPr>
          <w:rFonts w:ascii="Times New Roman" w:hAnsi="Times New Roman"/>
          <w:sz w:val="26"/>
          <w:szCs w:val="26"/>
        </w:rPr>
        <w:t xml:space="preserve"> 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EE7591" w:rsidRPr="003E4C9E">
        <w:rPr>
          <w:rFonts w:ascii="Times New Roman" w:hAnsi="Times New Roman"/>
          <w:sz w:val="26"/>
          <w:szCs w:val="26"/>
        </w:rPr>
        <w:t>ПОС.03-0575/20</w:t>
      </w:r>
      <w:r w:rsidR="003E4C9E" w:rsidRPr="003E4C9E">
        <w:rPr>
          <w:rFonts w:ascii="Times New Roman" w:hAnsi="Times New Roman"/>
          <w:sz w:val="26"/>
          <w:szCs w:val="26"/>
        </w:rPr>
        <w:t xml:space="preserve"> </w:t>
      </w:r>
      <w:r w:rsidR="003E4C9E">
        <w:rPr>
          <w:rFonts w:ascii="Times New Roman" w:hAnsi="Times New Roman"/>
          <w:sz w:val="26"/>
          <w:szCs w:val="26"/>
        </w:rPr>
        <w:t xml:space="preserve">от 27.04.2020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3E4C9E" w:rsidRPr="00561E06">
        <w:rPr>
          <w:rFonts w:ascii="Times New Roman" w:hAnsi="Times New Roman"/>
          <w:sz w:val="26"/>
          <w:szCs w:val="26"/>
        </w:rPr>
        <w:t>№</w:t>
      </w:r>
      <w:r w:rsidR="003E4C9E">
        <w:rPr>
          <w:rFonts w:ascii="Times New Roman" w:hAnsi="Times New Roman"/>
          <w:sz w:val="26"/>
          <w:szCs w:val="26"/>
        </w:rPr>
        <w:t xml:space="preserve"> </w:t>
      </w:r>
      <w:r w:rsidR="003E4C9E" w:rsidRPr="006C77E2">
        <w:rPr>
          <w:rFonts w:ascii="Times New Roman" w:hAnsi="Times New Roman"/>
          <w:sz w:val="26"/>
          <w:szCs w:val="26"/>
        </w:rPr>
        <w:t>ПОС.03-07</w:t>
      </w:r>
      <w:r w:rsidR="003E4C9E">
        <w:rPr>
          <w:rFonts w:ascii="Times New Roman" w:hAnsi="Times New Roman"/>
          <w:sz w:val="26"/>
          <w:szCs w:val="26"/>
        </w:rPr>
        <w:t>46</w:t>
      </w:r>
      <w:r w:rsidR="003E4C9E" w:rsidRPr="006C77E2">
        <w:rPr>
          <w:rFonts w:ascii="Times New Roman" w:hAnsi="Times New Roman"/>
          <w:sz w:val="26"/>
          <w:szCs w:val="26"/>
        </w:rPr>
        <w:t>/20</w:t>
      </w:r>
      <w:r w:rsidR="00AE3AF6">
        <w:rPr>
          <w:rFonts w:ascii="Times New Roman" w:hAnsi="Times New Roman"/>
          <w:sz w:val="26"/>
          <w:szCs w:val="26"/>
        </w:rPr>
        <w:t>, от 14.07</w:t>
      </w:r>
      <w:r w:rsidR="00C52440">
        <w:rPr>
          <w:rFonts w:ascii="Times New Roman" w:hAnsi="Times New Roman"/>
          <w:sz w:val="26"/>
          <w:szCs w:val="26"/>
        </w:rPr>
        <w:t xml:space="preserve">.2020 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C52440" w:rsidRPr="00561E06">
        <w:rPr>
          <w:rFonts w:ascii="Times New Roman" w:hAnsi="Times New Roman"/>
          <w:sz w:val="26"/>
          <w:szCs w:val="26"/>
        </w:rPr>
        <w:t>№</w:t>
      </w:r>
      <w:r w:rsidR="00C52440">
        <w:rPr>
          <w:rFonts w:ascii="Times New Roman" w:hAnsi="Times New Roman"/>
          <w:sz w:val="26"/>
          <w:szCs w:val="26"/>
        </w:rPr>
        <w:t xml:space="preserve">  ПОС.03-</w:t>
      </w:r>
      <w:r w:rsidR="00AE3AF6">
        <w:rPr>
          <w:rFonts w:ascii="Times New Roman" w:hAnsi="Times New Roman"/>
          <w:sz w:val="26"/>
          <w:szCs w:val="26"/>
        </w:rPr>
        <w:t>1170</w:t>
      </w:r>
      <w:r w:rsidR="00C52440" w:rsidRPr="006C77E2">
        <w:rPr>
          <w:rFonts w:ascii="Times New Roman" w:hAnsi="Times New Roman"/>
          <w:sz w:val="26"/>
          <w:szCs w:val="26"/>
        </w:rPr>
        <w:t>/20</w:t>
      </w:r>
      <w:r w:rsidR="00C52440">
        <w:rPr>
          <w:rFonts w:ascii="Times New Roman" w:hAnsi="Times New Roman"/>
          <w:sz w:val="26"/>
          <w:szCs w:val="26"/>
        </w:rPr>
        <w:t xml:space="preserve">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</w:p>
    <w:p w:rsidR="00FC73C1" w:rsidRPr="00302CD1" w:rsidRDefault="00943F36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096975">
        <w:rPr>
          <w:rFonts w:ascii="Times New Roman" w:hAnsi="Times New Roman"/>
          <w:sz w:val="26"/>
          <w:szCs w:val="26"/>
        </w:rPr>
        <w:t xml:space="preserve">и </w:t>
      </w:r>
      <w:r w:rsidR="00096975" w:rsidRPr="00302CD1">
        <w:rPr>
          <w:rFonts w:ascii="Times New Roman" w:hAnsi="Times New Roman"/>
          <w:sz w:val="26"/>
          <w:szCs w:val="26"/>
        </w:rPr>
        <w:t>«Координатор Программы»,</w:t>
      </w:r>
      <w:r w:rsidR="00AA7E3B" w:rsidRPr="00302CD1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096975" w:rsidRPr="00302CD1">
        <w:rPr>
          <w:rFonts w:ascii="Times New Roman" w:hAnsi="Times New Roman"/>
          <w:sz w:val="26"/>
          <w:szCs w:val="26"/>
        </w:rPr>
        <w:t xml:space="preserve"> и «Ответственные лица для контактов» изложить</w:t>
      </w:r>
      <w:r w:rsidR="00AA7E3B" w:rsidRPr="00302CD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C909C1" w:rsidRPr="00302CD1" w:rsidRDefault="00C909C1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886"/>
      </w:tblGrid>
      <w:tr w:rsidR="00302CD1" w:rsidRPr="007959F7" w:rsidTr="00AD118E">
        <w:trPr>
          <w:trHeight w:val="274"/>
        </w:trPr>
        <w:tc>
          <w:tcPr>
            <w:tcW w:w="2600" w:type="dxa"/>
          </w:tcPr>
          <w:p w:rsidR="00096975" w:rsidRPr="007959F7" w:rsidRDefault="00096975" w:rsidP="00096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9F7">
              <w:rPr>
                <w:rFonts w:ascii="Times New Roman" w:hAnsi="Times New Roman"/>
                <w:sz w:val="26"/>
                <w:szCs w:val="26"/>
              </w:rPr>
              <w:lastRenderedPageBreak/>
              <w:t>Координатор Программы</w:t>
            </w:r>
          </w:p>
        </w:tc>
        <w:tc>
          <w:tcPr>
            <w:tcW w:w="6886" w:type="dxa"/>
          </w:tcPr>
          <w:p w:rsidR="00096975" w:rsidRPr="007959F7" w:rsidRDefault="00096975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Первый заместитель Главы Администрации города Переславля-Залесского Васильков Максим Михайлович</w:t>
            </w:r>
          </w:p>
        </w:tc>
      </w:tr>
      <w:tr w:rsidR="00943F36" w:rsidRPr="007959F7" w:rsidTr="00AD118E">
        <w:trPr>
          <w:trHeight w:val="274"/>
        </w:trPr>
        <w:tc>
          <w:tcPr>
            <w:tcW w:w="2600" w:type="dxa"/>
          </w:tcPr>
          <w:p w:rsidR="00943F36" w:rsidRPr="007959F7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9F7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7959F7" w:rsidRDefault="00096975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119 898,57</w:t>
            </w:r>
            <w:r w:rsidR="00FF44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7959F7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D2F60" w:rsidRPr="007959F7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7959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7959F7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7959F7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7959F7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795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7959F7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7959F7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59F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7959F7" w:rsidRDefault="000743C8" w:rsidP="00DF1CCF">
            <w:pPr>
              <w:ind w:right="-16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в 2020 году –</w:t>
            </w:r>
            <w:r w:rsidR="00CE6ABC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113 209,60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7959F7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      -федеральный бюджет - </w:t>
            </w:r>
            <w:r w:rsidR="00CE6ABC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57 390,84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7959F7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F24617" w:rsidRPr="007959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6ABC" w:rsidRPr="007959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39 447,65 </w:t>
            </w:r>
            <w:r w:rsidR="00AD118E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7959F7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7959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ABC" w:rsidRPr="007959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16 371,11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7959F7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47CC" w:rsidRPr="007959F7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DD4673" w:rsidRPr="007959F7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DD4673" w:rsidRPr="007959F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0C41F0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4673" w:rsidRPr="007959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F0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7959F7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 w:rsidR="008E2A40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146,0</w:t>
            </w:r>
            <w:r w:rsidR="00E87B58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44 1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B58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15 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ету на 2022 год предусмотрено 13 255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7959F7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7959F7" w:rsidRDefault="000C41F0" w:rsidP="00096975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D6D5C" w:rsidRPr="007959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8D6D5C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096975" w:rsidRPr="007959F7" w:rsidTr="00AD118E">
        <w:trPr>
          <w:trHeight w:val="274"/>
        </w:trPr>
        <w:tc>
          <w:tcPr>
            <w:tcW w:w="2600" w:type="dxa"/>
          </w:tcPr>
          <w:p w:rsidR="00096975" w:rsidRPr="007959F7" w:rsidRDefault="00096975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9F7">
              <w:rPr>
                <w:rFonts w:ascii="Times New Roman" w:hAnsi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886" w:type="dxa"/>
          </w:tcPr>
          <w:p w:rsidR="00096975" w:rsidRPr="007959F7" w:rsidRDefault="00096975" w:rsidP="0009697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Васильков Максим Михайлович - </w:t>
            </w:r>
            <w:r w:rsidR="0057266A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ервый заместитель Главы Администрации города Переславля-Залесского, тел. 3-28-37;</w:t>
            </w:r>
          </w:p>
          <w:p w:rsidR="00096975" w:rsidRPr="007959F7" w:rsidRDefault="00096975" w:rsidP="0009697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Клопцова</w:t>
            </w:r>
            <w:proofErr w:type="spellEnd"/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Виктория Витальевна – директор МКУ «Центр развития города Переславля-Залесского», тел. 3-04-64;</w:t>
            </w:r>
          </w:p>
          <w:p w:rsidR="00096975" w:rsidRPr="007959F7" w:rsidRDefault="00535C4D" w:rsidP="00535C4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Людмила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Александровна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благоустройству, 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охран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окружающей среды 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похоронному делу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МКУ «Центр развития города Переславля-Залесского», тел.3-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08-78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535C4D" w:rsidTr="00DF1CCF">
        <w:tc>
          <w:tcPr>
            <w:tcW w:w="2093" w:type="dxa"/>
            <w:vMerge w:val="restart"/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535C4D" w:rsidTr="00DF1CCF">
        <w:trPr>
          <w:trHeight w:val="416"/>
        </w:trPr>
        <w:tc>
          <w:tcPr>
            <w:tcW w:w="2093" w:type="dxa"/>
            <w:vMerge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535C4D">
              <w:rPr>
                <w:rFonts w:ascii="Times New Roman" w:hAnsi="Times New Roman"/>
                <w:sz w:val="24"/>
                <w:szCs w:val="24"/>
              </w:rPr>
              <w:t>8</w:t>
            </w:r>
            <w:r w:rsidRPr="00535C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535C4D">
              <w:rPr>
                <w:rFonts w:ascii="Times New Roman" w:hAnsi="Times New Roman"/>
                <w:sz w:val="24"/>
                <w:szCs w:val="24"/>
              </w:rPr>
              <w:t>9</w:t>
            </w:r>
            <w:r w:rsidRPr="00535C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535C4D">
              <w:rPr>
                <w:rFonts w:ascii="Times New Roman" w:hAnsi="Times New Roman"/>
                <w:sz w:val="24"/>
                <w:szCs w:val="24"/>
              </w:rPr>
              <w:t>20</w:t>
            </w:r>
            <w:r w:rsidRPr="00535C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535C4D" w:rsidTr="00DF1CCF">
        <w:tc>
          <w:tcPr>
            <w:tcW w:w="2093" w:type="dxa"/>
          </w:tcPr>
          <w:p w:rsidR="000D2F60" w:rsidRPr="00535C4D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535C4D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535C4D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D" w:rsidRPr="00535C4D" w:rsidRDefault="00096975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119 898,57</w:t>
            </w:r>
          </w:p>
          <w:p w:rsidR="00895D13" w:rsidRPr="00535C4D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35C4D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35C4D" w:rsidRDefault="00BE730E" w:rsidP="003C5E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35C4D" w:rsidRDefault="00602757" w:rsidP="004C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113 209,60</w:t>
            </w:r>
          </w:p>
        </w:tc>
      </w:tr>
      <w:tr w:rsidR="008042AA" w:rsidRPr="00535C4D" w:rsidTr="00DF1CCF">
        <w:tc>
          <w:tcPr>
            <w:tcW w:w="2093" w:type="dxa"/>
          </w:tcPr>
          <w:p w:rsidR="008042AA" w:rsidRPr="00535C4D" w:rsidRDefault="008042AA" w:rsidP="00804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096975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57 390,84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602757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57 390,84</w:t>
            </w:r>
          </w:p>
        </w:tc>
      </w:tr>
      <w:tr w:rsidR="008042AA" w:rsidRPr="00535C4D" w:rsidTr="00DF1CCF">
        <w:tc>
          <w:tcPr>
            <w:tcW w:w="2093" w:type="dxa"/>
          </w:tcPr>
          <w:p w:rsidR="008042AA" w:rsidRPr="00535C4D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096975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39 447,65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602757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39 447,65</w:t>
            </w:r>
          </w:p>
        </w:tc>
      </w:tr>
      <w:tr w:rsidR="008042AA" w:rsidRPr="00535C4D" w:rsidTr="00DF1CCF">
        <w:tc>
          <w:tcPr>
            <w:tcW w:w="2093" w:type="dxa"/>
          </w:tcPr>
          <w:p w:rsidR="008042AA" w:rsidRPr="00535C4D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096975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23 060,08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602757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16 371,11</w:t>
            </w:r>
          </w:p>
        </w:tc>
      </w:tr>
    </w:tbl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 xml:space="preserve">. Перечень мероприятий Программы» изложить в следующей </w:t>
      </w:r>
      <w:r w:rsidRPr="009C224B">
        <w:rPr>
          <w:rFonts w:ascii="Times New Roman" w:hAnsi="Times New Roman"/>
          <w:sz w:val="26"/>
          <w:szCs w:val="26"/>
        </w:rPr>
        <w:lastRenderedPageBreak/>
        <w:t>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Контроль за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</w:t>
      </w:r>
      <w:r w:rsidR="00096975" w:rsidRPr="00302CD1">
        <w:rPr>
          <w:rFonts w:ascii="Times New Roman" w:hAnsi="Times New Roman"/>
          <w:sz w:val="26"/>
          <w:szCs w:val="26"/>
        </w:rPr>
        <w:t xml:space="preserve">первого </w:t>
      </w:r>
      <w:r w:rsidR="008F44B5" w:rsidRPr="009C224B">
        <w:rPr>
          <w:rFonts w:ascii="Times New Roman" w:hAnsi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F32E6E" w:rsidRPr="009C224B" w:rsidRDefault="00AC5A49" w:rsidP="00535C4D">
      <w:pPr>
        <w:rPr>
          <w:rFonts w:ascii="Times New Roman" w:hAnsi="Times New Roman"/>
          <w:sz w:val="26"/>
          <w:szCs w:val="26"/>
        </w:rPr>
        <w:sectPr w:rsidR="00F32E6E" w:rsidRPr="009C224B" w:rsidSect="00535C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 xml:space="preserve">а </w:t>
      </w:r>
      <w:r w:rsidR="007F24BA" w:rsidRPr="009C224B">
        <w:rPr>
          <w:rFonts w:ascii="Times New Roman" w:hAnsi="Times New Roman"/>
          <w:sz w:val="26"/>
          <w:szCs w:val="26"/>
        </w:rPr>
        <w:t>города Переславл</w:t>
      </w:r>
      <w:r w:rsidRPr="009C224B">
        <w:rPr>
          <w:rFonts w:ascii="Times New Roman" w:hAnsi="Times New Roman"/>
          <w:sz w:val="26"/>
          <w:szCs w:val="26"/>
        </w:rPr>
        <w:t>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 w:rsidR="0057266A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B7262" w:rsidRDefault="00AC5A49" w:rsidP="00AA3181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                  №   </w:t>
      </w:r>
    </w:p>
    <w:p w:rsidR="00AC5A49" w:rsidRPr="00535C4D" w:rsidRDefault="00AC5A49" w:rsidP="00AC5A49">
      <w:pPr>
        <w:tabs>
          <w:tab w:val="left" w:pos="10632"/>
        </w:tabs>
        <w:ind w:left="666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535C4D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35C4D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535C4D" w:rsidRDefault="00D54F03" w:rsidP="00C9547F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 w:firstRow="1" w:lastRow="0" w:firstColumn="1" w:lastColumn="0" w:noHBand="0" w:noVBand="1"/>
      </w:tblPr>
      <w:tblGrid>
        <w:gridCol w:w="954"/>
        <w:gridCol w:w="6"/>
        <w:gridCol w:w="61"/>
        <w:gridCol w:w="4961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535C4D" w:rsidTr="00535C4D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535C4D" w:rsidTr="00535C4D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535C4D" w:rsidTr="00535C4D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7E4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5CD" w:rsidRPr="00535C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535C4D" w:rsidTr="00535C4D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A4E43"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2E6C"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A43AAC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C21311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118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21311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1311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A75DD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4F03" w:rsidRPr="00535C4D" w:rsidTr="00535C4D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="00FA4E43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488,</w:t>
            </w:r>
            <w:r w:rsidR="00472E6C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C2131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2131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2131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A75D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64A83" w:rsidRPr="00535C4D" w:rsidTr="00535C4D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535C4D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D54F03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774D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9547F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54F03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D54F03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2774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C9547F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</w:tr>
      <w:tr w:rsidR="00D54F03" w:rsidRPr="00535C4D" w:rsidTr="00535C4D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6F7BE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45A94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6F7BE1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D118E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93 374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7938CF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54 146,0</w:t>
            </w:r>
            <w:r w:rsidR="00E87B58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38CF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38 122,3</w:t>
            </w:r>
            <w:r w:rsidR="00E87B58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38CF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1 105,8</w:t>
            </w:r>
            <w:r w:rsidR="00E87B58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65A8F" w:rsidRPr="00535C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38CF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65A8F" w:rsidRPr="00535C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5" w:type="dxa"/>
            <w:shd w:val="clear" w:color="auto" w:fill="auto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EE7591" w:rsidRPr="00535C4D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E7591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сметной документации по территориям, занятым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борщивиком</w:t>
            </w:r>
            <w:proofErr w:type="spellEnd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966820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9668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  <w:r w:rsidR="00966820" w:rsidRPr="0053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EE7591" w:rsidRPr="00535C4D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CC7495" w:rsidRPr="00535C4D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20" w:rsidRPr="00535C4D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95" w:rsidRPr="00535C4D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966820" w:rsidRPr="00535C4D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323D2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6E78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8CE" w:rsidRPr="0053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6E78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  <w:r w:rsidR="006E78CE" w:rsidRPr="0053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323D29" w:rsidRPr="00535C4D" w:rsidTr="00535C4D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D29" w:rsidRPr="00535C4D" w:rsidTr="00535C4D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1F7E4B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D29"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D29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535C4D" w:rsidTr="00535C4D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т.ч. по расходным обязательствам, недофинансированным в отчетном </w:t>
            </w: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проектов зон санитарной охраны водозаборов д. Горки, с.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652,06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652,06</w:t>
            </w:r>
          </w:p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3D29" w:rsidRPr="00535C4D" w:rsidTr="00535C4D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323D29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535C4D" w:rsidTr="00535C4D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1F7E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F7E4B" w:rsidRPr="00535C4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323D29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323D29" w:rsidRPr="00535C4D" w:rsidTr="00535C4D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323D2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226,95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04596" w:rsidP="0030459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226</w:t>
            </w:r>
            <w:r w:rsidR="00323D29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323D29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23D29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535C4D" w:rsidTr="00535C4D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1F7E4B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D29" w:rsidRPr="0053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29" w:rsidRPr="00535C4D" w:rsidTr="00535C4D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D29" w:rsidRPr="00535C4D" w:rsidTr="00535C4D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D29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535C4D" w:rsidTr="00535C4D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E4759D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9 570</w:t>
            </w:r>
            <w:r w:rsidR="00100B79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,19</w:t>
            </w:r>
          </w:p>
        </w:tc>
      </w:tr>
      <w:tr w:rsidR="00323D29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C52440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федеральный</w:t>
            </w:r>
            <w:r w:rsidR="00323D29"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E4759D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E4759D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="00100B79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325,35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5 000,0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E4759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088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FC49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C49E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C52440" w:rsidRPr="00535C4D" w:rsidTr="00535C4D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131,04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131,04</w:t>
            </w:r>
          </w:p>
        </w:tc>
      </w:tr>
      <w:tr w:rsidR="00C52440" w:rsidRPr="00535C4D" w:rsidTr="00535C4D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440" w:rsidRPr="00535C4D" w:rsidTr="00535C4D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C52440" w:rsidRPr="00535C4D" w:rsidTr="00535C4D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  <w:shd w:val="clear" w:color="auto" w:fill="auto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52440" w:rsidRPr="00535C4D" w:rsidTr="00535C4D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440" w:rsidRPr="00535C4D" w:rsidTr="00535C4D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1F7E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F7E4B"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440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52440" w:rsidRPr="00535C4D" w:rsidTr="00535C4D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26,49</w:t>
            </w:r>
          </w:p>
        </w:tc>
      </w:tr>
      <w:tr w:rsidR="00C52440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26,49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F85F5E" w:rsidP="00F85F5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F85F5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85F5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85F5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85F5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9A76C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A76CD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9A76CD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447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9A76CD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</w:tr>
      <w:tr w:rsidR="00C52440" w:rsidRPr="00535C4D" w:rsidTr="00535C4D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FC49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C49EE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6 3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FC49EE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C49EE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</w:tbl>
    <w:p w:rsidR="00495B5A" w:rsidRPr="00535C4D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RPr="00535C4D" w:rsidSect="00535C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36"/>
    <w:rsid w:val="000449AA"/>
    <w:rsid w:val="0006423C"/>
    <w:rsid w:val="00064A83"/>
    <w:rsid w:val="00072E84"/>
    <w:rsid w:val="000743C8"/>
    <w:rsid w:val="00076A83"/>
    <w:rsid w:val="00096975"/>
    <w:rsid w:val="000B0702"/>
    <w:rsid w:val="000C41F0"/>
    <w:rsid w:val="000D2F60"/>
    <w:rsid w:val="000D56B9"/>
    <w:rsid w:val="00100B79"/>
    <w:rsid w:val="00105F7A"/>
    <w:rsid w:val="001369BB"/>
    <w:rsid w:val="0013766A"/>
    <w:rsid w:val="00145AD7"/>
    <w:rsid w:val="001462A5"/>
    <w:rsid w:val="001627F9"/>
    <w:rsid w:val="0019093F"/>
    <w:rsid w:val="001A1BB4"/>
    <w:rsid w:val="001B47CC"/>
    <w:rsid w:val="001B764D"/>
    <w:rsid w:val="001C3C8A"/>
    <w:rsid w:val="001F2665"/>
    <w:rsid w:val="001F5053"/>
    <w:rsid w:val="001F7E4B"/>
    <w:rsid w:val="00206714"/>
    <w:rsid w:val="00217E27"/>
    <w:rsid w:val="0022774D"/>
    <w:rsid w:val="002618AB"/>
    <w:rsid w:val="00275ED7"/>
    <w:rsid w:val="002909F4"/>
    <w:rsid w:val="002B03AB"/>
    <w:rsid w:val="002B49C0"/>
    <w:rsid w:val="002C0EF3"/>
    <w:rsid w:val="002C7266"/>
    <w:rsid w:val="002E0F54"/>
    <w:rsid w:val="002E3E15"/>
    <w:rsid w:val="003001D1"/>
    <w:rsid w:val="00302CD1"/>
    <w:rsid w:val="00304596"/>
    <w:rsid w:val="00305CD5"/>
    <w:rsid w:val="003076A8"/>
    <w:rsid w:val="003107EE"/>
    <w:rsid w:val="00323D29"/>
    <w:rsid w:val="00331E04"/>
    <w:rsid w:val="003329DC"/>
    <w:rsid w:val="0035020A"/>
    <w:rsid w:val="00353579"/>
    <w:rsid w:val="003618A1"/>
    <w:rsid w:val="00373A2D"/>
    <w:rsid w:val="003744BC"/>
    <w:rsid w:val="003A2B25"/>
    <w:rsid w:val="003A3C47"/>
    <w:rsid w:val="003C50A2"/>
    <w:rsid w:val="003C5EF7"/>
    <w:rsid w:val="003E4C9E"/>
    <w:rsid w:val="00403782"/>
    <w:rsid w:val="00411C40"/>
    <w:rsid w:val="004246B2"/>
    <w:rsid w:val="00430CEC"/>
    <w:rsid w:val="00437B10"/>
    <w:rsid w:val="00472E6C"/>
    <w:rsid w:val="00480025"/>
    <w:rsid w:val="00495B5A"/>
    <w:rsid w:val="004B4D77"/>
    <w:rsid w:val="004C4738"/>
    <w:rsid w:val="00515EBB"/>
    <w:rsid w:val="00535C4D"/>
    <w:rsid w:val="00554F3F"/>
    <w:rsid w:val="00561E06"/>
    <w:rsid w:val="00564E05"/>
    <w:rsid w:val="00566CBA"/>
    <w:rsid w:val="0057266A"/>
    <w:rsid w:val="005C6443"/>
    <w:rsid w:val="005D3E4C"/>
    <w:rsid w:val="00602757"/>
    <w:rsid w:val="00654CBB"/>
    <w:rsid w:val="00667C42"/>
    <w:rsid w:val="006A1036"/>
    <w:rsid w:val="006D75BF"/>
    <w:rsid w:val="006E11AC"/>
    <w:rsid w:val="006E2A57"/>
    <w:rsid w:val="006E78CE"/>
    <w:rsid w:val="006F348D"/>
    <w:rsid w:val="006F7BE1"/>
    <w:rsid w:val="00703285"/>
    <w:rsid w:val="0071216D"/>
    <w:rsid w:val="007255CD"/>
    <w:rsid w:val="007351A9"/>
    <w:rsid w:val="00741987"/>
    <w:rsid w:val="007435EE"/>
    <w:rsid w:val="007607A6"/>
    <w:rsid w:val="007633B6"/>
    <w:rsid w:val="007938CF"/>
    <w:rsid w:val="007959F7"/>
    <w:rsid w:val="007A4BD1"/>
    <w:rsid w:val="007D1BF3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56D38"/>
    <w:rsid w:val="00864CEE"/>
    <w:rsid w:val="00874B2E"/>
    <w:rsid w:val="00891FA0"/>
    <w:rsid w:val="00895D13"/>
    <w:rsid w:val="008A54C2"/>
    <w:rsid w:val="008B19E8"/>
    <w:rsid w:val="008B4F86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66820"/>
    <w:rsid w:val="00992C35"/>
    <w:rsid w:val="00997EB3"/>
    <w:rsid w:val="009A76CD"/>
    <w:rsid w:val="009B248D"/>
    <w:rsid w:val="009C224B"/>
    <w:rsid w:val="009C5881"/>
    <w:rsid w:val="009C6074"/>
    <w:rsid w:val="009E6597"/>
    <w:rsid w:val="00A01122"/>
    <w:rsid w:val="00A249A3"/>
    <w:rsid w:val="00A24CCD"/>
    <w:rsid w:val="00A27FE6"/>
    <w:rsid w:val="00A35050"/>
    <w:rsid w:val="00A42BD7"/>
    <w:rsid w:val="00A43AAC"/>
    <w:rsid w:val="00A44D23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AE3AF6"/>
    <w:rsid w:val="00B30B79"/>
    <w:rsid w:val="00B71BF3"/>
    <w:rsid w:val="00B7362B"/>
    <w:rsid w:val="00BE1031"/>
    <w:rsid w:val="00BE730E"/>
    <w:rsid w:val="00C03090"/>
    <w:rsid w:val="00C03B8E"/>
    <w:rsid w:val="00C20CFC"/>
    <w:rsid w:val="00C21311"/>
    <w:rsid w:val="00C375BD"/>
    <w:rsid w:val="00C46694"/>
    <w:rsid w:val="00C52440"/>
    <w:rsid w:val="00C56579"/>
    <w:rsid w:val="00C641B7"/>
    <w:rsid w:val="00C67766"/>
    <w:rsid w:val="00C75962"/>
    <w:rsid w:val="00C84281"/>
    <w:rsid w:val="00C909C1"/>
    <w:rsid w:val="00C9547F"/>
    <w:rsid w:val="00CA75DD"/>
    <w:rsid w:val="00CB4748"/>
    <w:rsid w:val="00CC0C5A"/>
    <w:rsid w:val="00CC7495"/>
    <w:rsid w:val="00CD7B0D"/>
    <w:rsid w:val="00CE6ABC"/>
    <w:rsid w:val="00CF564C"/>
    <w:rsid w:val="00D029BF"/>
    <w:rsid w:val="00D1617D"/>
    <w:rsid w:val="00D2061B"/>
    <w:rsid w:val="00D346DE"/>
    <w:rsid w:val="00D44E43"/>
    <w:rsid w:val="00D52FF5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42815"/>
    <w:rsid w:val="00E46A05"/>
    <w:rsid w:val="00E4759D"/>
    <w:rsid w:val="00E53D56"/>
    <w:rsid w:val="00E5737D"/>
    <w:rsid w:val="00E60158"/>
    <w:rsid w:val="00E67E04"/>
    <w:rsid w:val="00E840B6"/>
    <w:rsid w:val="00E87B58"/>
    <w:rsid w:val="00EA46D2"/>
    <w:rsid w:val="00ED50AC"/>
    <w:rsid w:val="00EE7591"/>
    <w:rsid w:val="00EF3258"/>
    <w:rsid w:val="00F24617"/>
    <w:rsid w:val="00F25845"/>
    <w:rsid w:val="00F27AF4"/>
    <w:rsid w:val="00F32E6E"/>
    <w:rsid w:val="00F43EAC"/>
    <w:rsid w:val="00F6315F"/>
    <w:rsid w:val="00F85F5E"/>
    <w:rsid w:val="00F872B3"/>
    <w:rsid w:val="00FA49D8"/>
    <w:rsid w:val="00FA4E43"/>
    <w:rsid w:val="00FC49EE"/>
    <w:rsid w:val="00FC73C1"/>
    <w:rsid w:val="00FD12E9"/>
    <w:rsid w:val="00FE425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EC3E"/>
  <w15:docId w15:val="{5A3E7B25-C09E-46B7-A4D0-2B3B8C9F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3AC3-A7E2-4AF7-AD37-4F623C04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2020-09-29T13:46:00Z</cp:lastPrinted>
  <dcterms:created xsi:type="dcterms:W3CDTF">2020-09-30T10:14:00Z</dcterms:created>
  <dcterms:modified xsi:type="dcterms:W3CDTF">2020-10-05T11:55:00Z</dcterms:modified>
</cp:coreProperties>
</file>