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6480C4DA" w14:textId="6B5FD025"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9517268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C1B39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C1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ПОС.03-1431/24</w:t>
      </w:r>
    </w:p>
    <w:bookmarkEnd w:id="0"/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2D0F6E42" w14:textId="10BF2E8D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CF0D7E" w:rsidRPr="000B2671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CF0D7E" w:rsidRPr="000B2671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CF0D7E" w:rsidRPr="000B2671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CF0D7E" w:rsidRPr="000B2671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CF0D7E" w:rsidRPr="000B2671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1670FED8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EC1B39" w:rsidRPr="00EC1B39">
        <w:rPr>
          <w:rFonts w:ascii="Times New Roman" w:eastAsia="Times New Roman" w:hAnsi="Times New Roman" w:cs="Times New Roman"/>
          <w:lang w:eastAsia="ru-RU"/>
        </w:rPr>
        <w:t>от 14.06.2024 № ПОС.03-1431/24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12A77B7D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2FE919E4" w14:textId="77777777" w:rsidR="00A84B2B" w:rsidRDefault="00A84B2B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B1E5B6" w14:textId="77777777" w:rsid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14D4AA61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A84B2B">
        <w:rPr>
          <w:rFonts w:ascii="Times New Roman" w:eastAsia="Times New Roman" w:hAnsi="Times New Roman" w:cs="Times New Roman"/>
          <w:lang w:eastAsia="ru-RU"/>
        </w:rPr>
        <w:t>Ярославская область, р-н Переславский, д. Карсаково</w:t>
      </w:r>
    </w:p>
    <w:p w14:paraId="3D991A70" w14:textId="56B16DDD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 7</w:t>
      </w:r>
      <w:r w:rsidRPr="00A84B2B">
        <w:rPr>
          <w:rFonts w:ascii="Times New Roman" w:eastAsia="Times New Roman" w:hAnsi="Times New Roman" w:cs="Times New Roman"/>
          <w:lang w:eastAsia="ru-RU"/>
        </w:rPr>
        <w:t>6:11:171703:1</w:t>
      </w:r>
      <w:r>
        <w:rPr>
          <w:rFonts w:ascii="Times New Roman" w:eastAsia="Times New Roman" w:hAnsi="Times New Roman" w:cs="Times New Roman"/>
          <w:lang w:eastAsia="ru-RU"/>
        </w:rPr>
        <w:t>46</w:t>
      </w:r>
    </w:p>
    <w:p w14:paraId="3598144D" w14:textId="6EDB87B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A84B2B">
        <w:rPr>
          <w:rFonts w:ascii="Times New Roman" w:eastAsia="Times New Roman" w:hAnsi="Times New Roman" w:cs="Times New Roman"/>
          <w:lang w:eastAsia="ru-RU"/>
        </w:rPr>
        <w:t>294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84B2B">
        <w:rPr>
          <w:rFonts w:ascii="Times New Roman" w:eastAsia="Times New Roman" w:hAnsi="Times New Roman" w:cs="Times New Roman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B2B">
        <w:rPr>
          <w:rFonts w:ascii="Times New Roman" w:eastAsia="Times New Roman" w:hAnsi="Times New Roman" w:cs="Times New Roman"/>
          <w:lang w:eastAsia="ru-RU"/>
        </w:rPr>
        <w:t>м.</w:t>
      </w:r>
    </w:p>
    <w:p w14:paraId="264FB11B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A84B2B">
        <w:rPr>
          <w:rFonts w:ascii="Times New Roman" w:eastAsia="Times New Roman" w:hAnsi="Times New Roman" w:cs="Times New Roman"/>
          <w:lang w:eastAsia="ru-RU"/>
        </w:rPr>
        <w:t xml:space="preserve"> земли населенных пунктов.</w:t>
      </w:r>
    </w:p>
    <w:p w14:paraId="5A4A1832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Территориальная зона: Ж</w:t>
      </w:r>
      <w:r w:rsidRPr="00A84B2B"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678F29A0" w14:textId="76F2774E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4B2B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 </w:t>
      </w:r>
    </w:p>
    <w:p w14:paraId="7A3CDBCD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A84B2B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14:paraId="0BC95145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A84B2B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53F790A" w14:textId="77777777" w:rsidR="00A84B2B" w:rsidRP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B2B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A39F66C" w14:textId="77777777" w:rsidR="00A84B2B" w:rsidRPr="00A84B2B" w:rsidRDefault="00A84B2B" w:rsidP="00A84B2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bookmarkStart w:id="1" w:name="_Hlk168053979"/>
      <w:r w:rsidRPr="00A84B2B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bookmarkEnd w:id="1"/>
    <w:p w14:paraId="13566D60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AEA78E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84B2B" w:rsidRPr="00A84B2B" w14:paraId="03C82304" w14:textId="77777777" w:rsidTr="00A84B2B">
        <w:trPr>
          <w:trHeight w:val="372"/>
        </w:trPr>
        <w:tc>
          <w:tcPr>
            <w:tcW w:w="4111" w:type="dxa"/>
            <w:shd w:val="clear" w:color="auto" w:fill="auto"/>
          </w:tcPr>
          <w:p w14:paraId="485EEED1" w14:textId="77777777" w:rsidR="00A84B2B" w:rsidRPr="00A84B2B" w:rsidRDefault="00A84B2B" w:rsidP="007236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5528" w:type="dxa"/>
            <w:shd w:val="clear" w:color="auto" w:fill="auto"/>
          </w:tcPr>
          <w:p w14:paraId="7CFCA80E" w14:textId="77777777" w:rsidR="00A84B2B" w:rsidRPr="00A84B2B" w:rsidRDefault="00A84B2B" w:rsidP="0072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A84B2B" w:rsidRPr="00A84B2B" w14:paraId="19683C02" w14:textId="77777777" w:rsidTr="00A84B2B">
        <w:tc>
          <w:tcPr>
            <w:tcW w:w="4111" w:type="dxa"/>
            <w:shd w:val="clear" w:color="auto" w:fill="auto"/>
          </w:tcPr>
          <w:p w14:paraId="2FF402BB" w14:textId="77777777" w:rsidR="00A84B2B" w:rsidRPr="00A84B2B" w:rsidRDefault="00A84B2B" w:rsidP="00723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199534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7DBA7D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A84B2B" w:rsidRPr="00A84B2B" w14:paraId="23C1B057" w14:textId="77777777" w:rsidTr="00A84B2B">
        <w:trPr>
          <w:trHeight w:val="1018"/>
        </w:trPr>
        <w:tc>
          <w:tcPr>
            <w:tcW w:w="4111" w:type="dxa"/>
            <w:shd w:val="clear" w:color="auto" w:fill="auto"/>
          </w:tcPr>
          <w:p w14:paraId="4ED2D019" w14:textId="77777777" w:rsidR="00A84B2B" w:rsidRPr="00A84B2B" w:rsidRDefault="00A84B2B" w:rsidP="00723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528" w:type="dxa"/>
            <w:shd w:val="clear" w:color="auto" w:fill="auto"/>
          </w:tcPr>
          <w:p w14:paraId="1F32C805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7A302328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A84B2B" w:rsidRPr="00A84B2B" w14:paraId="72A2BF63" w14:textId="77777777" w:rsidTr="00A84B2B">
        <w:tc>
          <w:tcPr>
            <w:tcW w:w="4111" w:type="dxa"/>
            <w:shd w:val="clear" w:color="auto" w:fill="auto"/>
          </w:tcPr>
          <w:p w14:paraId="5896C85B" w14:textId="77777777" w:rsidR="00A84B2B" w:rsidRPr="00A84B2B" w:rsidRDefault="00A84B2B" w:rsidP="00723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528" w:type="dxa"/>
            <w:shd w:val="clear" w:color="auto" w:fill="auto"/>
          </w:tcPr>
          <w:p w14:paraId="1D280ED2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4CD4A29" w14:textId="77777777" w:rsidR="00A84B2B" w:rsidRPr="00A84B2B" w:rsidRDefault="00A84B2B" w:rsidP="00723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A84B2B" w:rsidRPr="00EC1B39" w14:paraId="3DE976DF" w14:textId="77777777" w:rsidTr="00A84B2B">
        <w:tc>
          <w:tcPr>
            <w:tcW w:w="4111" w:type="dxa"/>
            <w:shd w:val="clear" w:color="auto" w:fill="auto"/>
          </w:tcPr>
          <w:p w14:paraId="68953784" w14:textId="77777777" w:rsidR="00A84B2B" w:rsidRPr="00A84B2B" w:rsidRDefault="00A84B2B" w:rsidP="00723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7FBB37" w14:textId="46E7C041" w:rsidR="00A84B2B" w:rsidRPr="00A84B2B" w:rsidRDefault="00A84B2B" w:rsidP="0072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min 700 </w:t>
            </w: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223DF4EA" w14:textId="43C75847" w:rsidR="00A84B2B" w:rsidRPr="00A84B2B" w:rsidRDefault="00A84B2B" w:rsidP="0072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max 3000 </w:t>
            </w: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A84B2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84B2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408215E3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98E8D3D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CCD4CF4" w14:textId="504636AB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4B2B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водоснабжения, водоотведения и теплоснабжения: отсутствует </w:t>
      </w:r>
      <w:r w:rsidRPr="00A84B2B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15.05.2024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>6).</w:t>
      </w:r>
    </w:p>
    <w:p w14:paraId="7B0E06C7" w14:textId="43B0B6AE" w:rsidR="00A84B2B" w:rsidRPr="00A84B2B" w:rsidRDefault="00A84B2B" w:rsidP="00A84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4B2B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A84B2B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16.05.2024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>
        <w:rPr>
          <w:rFonts w:ascii="Times New Roman" w:eastAsia="Times New Roman" w:hAnsi="Times New Roman" w:cs="Times New Roman"/>
          <w:bCs/>
          <w:lang w:eastAsia="ru-RU"/>
        </w:rPr>
        <w:t>2196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среднего давления диаметром 63 мм в д. Карсаково (собственник – АО «Газпром газораспределение Ярославль»). Ориентировочная протяженность (по прямой) от ближайшей точки подключения составляет около 1</w:t>
      </w:r>
      <w:r>
        <w:rPr>
          <w:rFonts w:ascii="Times New Roman" w:eastAsia="Times New Roman" w:hAnsi="Times New Roman" w:cs="Times New Roman"/>
          <w:bCs/>
          <w:lang w:eastAsia="ru-RU"/>
        </w:rPr>
        <w:t>00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</w:t>
      </w:r>
      <w:r w:rsidRPr="00A84B2B">
        <w:rPr>
          <w:rFonts w:ascii="Times New Roman" w:eastAsia="Times New Roman" w:hAnsi="Times New Roman" w:cs="Times New Roman"/>
          <w:bCs/>
          <w:lang w:eastAsia="ru-RU"/>
        </w:rPr>
        <w:lastRenderedPageBreak/>
        <w:t>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6426EDD6" w14:textId="16D9F0DF" w:rsidR="00A84B2B" w:rsidRDefault="00A84B2B" w:rsidP="00A84B2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A84B2B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16.05.2024</w:t>
      </w:r>
      <w:r w:rsidRPr="00A84B2B">
        <w:rPr>
          <w:rFonts w:ascii="Times New Roman" w:eastAsia="Times New Roman" w:hAnsi="Times New Roman" w:cs="Times New Roman"/>
        </w:rPr>
        <w:t xml:space="preserve"> № 0318/05/</w:t>
      </w:r>
      <w:r>
        <w:rPr>
          <w:rFonts w:ascii="Times New Roman" w:eastAsia="Times New Roman" w:hAnsi="Times New Roman" w:cs="Times New Roman"/>
        </w:rPr>
        <w:t>7</w:t>
      </w:r>
      <w:r w:rsidRPr="00A84B2B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A84B2B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A84B2B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B18BFF3" w14:textId="1EBA7C57" w:rsidR="00A84B2B" w:rsidRPr="00FB0D7A" w:rsidRDefault="00A84B2B" w:rsidP="00A84B2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Hlk168054206"/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12 681,41 (двенадцать тысяч шестьсот восемьдесят один) рубль 41 копейка</w:t>
      </w:r>
      <w:bookmarkEnd w:id="2"/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Pr="00C5186F">
        <w:rPr>
          <w:rFonts w:ascii="Times New Roman" w:eastAsia="Times New Roman" w:hAnsi="Times New Roman" w:cs="Times New Roman"/>
          <w:b/>
          <w:bCs/>
          <w:lang w:eastAsia="ru-RU"/>
        </w:rPr>
        <w:t>год</w:t>
      </w:r>
      <w:r w:rsidRPr="00F506D2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F889AC2" w14:textId="6A21174E" w:rsidR="00A84B2B" w:rsidRPr="00276535" w:rsidRDefault="00A84B2B" w:rsidP="00A84B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380,44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5186F">
        <w:rPr>
          <w:rFonts w:ascii="Times New Roman" w:eastAsia="Times New Roman" w:hAnsi="Times New Roman" w:cs="Times New Roman"/>
          <w:b/>
          <w:lang w:eastAsia="ru-RU"/>
        </w:rPr>
        <w:t>триста восемьдесят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186F">
        <w:rPr>
          <w:rFonts w:ascii="Times New Roman" w:eastAsia="Times New Roman" w:hAnsi="Times New Roman" w:cs="Times New Roman"/>
          <w:b/>
          <w:lang w:eastAsia="ru-RU"/>
        </w:rPr>
        <w:t>44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6A5B0EA" w14:textId="27244442" w:rsidR="00A84B2B" w:rsidRDefault="00A84B2B" w:rsidP="00A84B2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C518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12 681,41 (двенадцать тысяч шестьсот восемьдесят один) рубль 41 копейка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1FA5442" w14:textId="77777777" w:rsid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E5F4E8" w14:textId="70F1499C" w:rsid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770B82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84B2B">
        <w:rPr>
          <w:rFonts w:ascii="Times New Roman" w:eastAsia="Calibri" w:hAnsi="Times New Roman" w:cs="Times New Roman"/>
          <w:b/>
        </w:rPr>
        <w:t>Лот № 2:</w:t>
      </w:r>
    </w:p>
    <w:p w14:paraId="150C0C82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A84B2B">
        <w:rPr>
          <w:rFonts w:ascii="Times New Roman" w:eastAsia="Calibri" w:hAnsi="Times New Roman" w:cs="Times New Roman"/>
          <w:b/>
        </w:rPr>
        <w:t xml:space="preserve">Адрес земельного участка: </w:t>
      </w:r>
      <w:r w:rsidRPr="00A84B2B">
        <w:rPr>
          <w:rFonts w:ascii="Times New Roman" w:eastAsia="Calibri" w:hAnsi="Times New Roman" w:cs="Times New Roman"/>
        </w:rPr>
        <w:t>Ярославская область, р-н Переславский, д. Карсаково</w:t>
      </w:r>
    </w:p>
    <w:p w14:paraId="0A48A42E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A84B2B">
        <w:rPr>
          <w:rFonts w:ascii="Times New Roman" w:eastAsia="Calibri" w:hAnsi="Times New Roman" w:cs="Times New Roman"/>
          <w:b/>
        </w:rPr>
        <w:t>Кадастровый номер земельного участка: 7</w:t>
      </w:r>
      <w:r w:rsidRPr="00A84B2B">
        <w:rPr>
          <w:rFonts w:ascii="Times New Roman" w:eastAsia="Calibri" w:hAnsi="Times New Roman" w:cs="Times New Roman"/>
        </w:rPr>
        <w:t>6:11:171703:154</w:t>
      </w:r>
    </w:p>
    <w:p w14:paraId="1FCF4118" w14:textId="30E67A2A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  <w:b/>
        </w:rPr>
        <w:t xml:space="preserve">Площадь земельного участка: </w:t>
      </w:r>
      <w:r w:rsidRPr="00A84B2B">
        <w:rPr>
          <w:rFonts w:ascii="Times New Roman" w:eastAsia="Calibri" w:hAnsi="Times New Roman" w:cs="Times New Roman"/>
        </w:rPr>
        <w:t>2946 кв.</w:t>
      </w:r>
      <w:r>
        <w:rPr>
          <w:rFonts w:ascii="Times New Roman" w:eastAsia="Calibri" w:hAnsi="Times New Roman" w:cs="Times New Roman"/>
        </w:rPr>
        <w:t xml:space="preserve"> </w:t>
      </w:r>
      <w:r w:rsidRPr="00A84B2B">
        <w:rPr>
          <w:rFonts w:ascii="Times New Roman" w:eastAsia="Calibri" w:hAnsi="Times New Roman" w:cs="Times New Roman"/>
        </w:rPr>
        <w:t>м.</w:t>
      </w:r>
    </w:p>
    <w:p w14:paraId="6D00FB06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84B2B">
        <w:rPr>
          <w:rFonts w:ascii="Times New Roman" w:eastAsia="Calibri" w:hAnsi="Times New Roman" w:cs="Times New Roman"/>
          <w:b/>
        </w:rPr>
        <w:t>Категория земель:</w:t>
      </w:r>
      <w:r w:rsidRPr="00A84B2B">
        <w:rPr>
          <w:rFonts w:ascii="Times New Roman" w:eastAsia="Calibri" w:hAnsi="Times New Roman" w:cs="Times New Roman"/>
        </w:rPr>
        <w:t xml:space="preserve"> земли населенных пунктов.</w:t>
      </w:r>
    </w:p>
    <w:p w14:paraId="59AB160E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  <w:b/>
        </w:rPr>
        <w:t>Территориальная зона: Ж</w:t>
      </w:r>
      <w:r w:rsidRPr="00A84B2B">
        <w:rPr>
          <w:rFonts w:ascii="Times New Roman" w:eastAsia="Calibri" w:hAnsi="Times New Roman" w:cs="Times New Roman"/>
        </w:rPr>
        <w:t>-1.1 – Зона застройки индивидуальными жилыми домами в границах сельских населенных пунктов</w:t>
      </w:r>
    </w:p>
    <w:p w14:paraId="137A011D" w14:textId="14E957C8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  <w:b/>
        </w:rPr>
        <w:t>Разрешенное использование земельного участка: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84B2B">
        <w:rPr>
          <w:rFonts w:ascii="Times New Roman" w:eastAsia="Calibri" w:hAnsi="Times New Roman" w:cs="Times New Roman"/>
        </w:rPr>
        <w:t xml:space="preserve">для ведения личного подсобного хозяйства </w:t>
      </w:r>
    </w:p>
    <w:p w14:paraId="4A8969D6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  <w:b/>
        </w:rPr>
        <w:t>Сведения о правах на земельный участок</w:t>
      </w:r>
      <w:r w:rsidRPr="00A84B2B">
        <w:rPr>
          <w:rFonts w:ascii="Times New Roman" w:eastAsia="Calibri" w:hAnsi="Times New Roman" w:cs="Times New Roman"/>
        </w:rPr>
        <w:t xml:space="preserve"> (на основании выписки из ЕГРН): земельный участок </w:t>
      </w:r>
      <w:r w:rsidRPr="00A84B2B">
        <w:rPr>
          <w:rFonts w:ascii="Times New Roman" w:eastAsia="Calibri" w:hAnsi="Times New Roman" w:cs="Times New Roman"/>
          <w:bCs/>
        </w:rPr>
        <w:t>относится к землям, государственная собственность на которые не разграничена.</w:t>
      </w:r>
    </w:p>
    <w:p w14:paraId="14AE0858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  <w:b/>
        </w:rPr>
        <w:t xml:space="preserve">Обременения земельного участка: </w:t>
      </w:r>
      <w:r w:rsidRPr="00A84B2B">
        <w:rPr>
          <w:rFonts w:ascii="Times New Roman" w:eastAsia="Calibri" w:hAnsi="Times New Roman" w:cs="Times New Roman"/>
        </w:rPr>
        <w:t>земельный участок не обременен правами третьих лиц, в залоге, в споре и под арестом не состоит.</w:t>
      </w:r>
    </w:p>
    <w:p w14:paraId="7382C406" w14:textId="77777777" w:rsidR="00A84B2B" w:rsidRPr="00A84B2B" w:rsidRDefault="00A84B2B" w:rsidP="00C5186F">
      <w:pPr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A84B2B">
        <w:rPr>
          <w:rFonts w:ascii="Times New Roman" w:eastAsia="Calibri" w:hAnsi="Times New Roman" w:cs="Times New Roman"/>
          <w:b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30A19C9" w14:textId="77777777" w:rsidR="00C5186F" w:rsidRPr="00A84B2B" w:rsidRDefault="00A84B2B" w:rsidP="00C5186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4B2B">
        <w:rPr>
          <w:rFonts w:ascii="Times New Roman" w:eastAsia="Calibri" w:hAnsi="Times New Roman" w:cs="Times New Roman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C5186F" w:rsidRPr="00A84B2B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434D4513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84B2B" w:rsidRPr="00A84B2B" w14:paraId="76B696D8" w14:textId="77777777" w:rsidTr="00C5186F">
        <w:trPr>
          <w:trHeight w:val="372"/>
        </w:trPr>
        <w:tc>
          <w:tcPr>
            <w:tcW w:w="3969" w:type="dxa"/>
            <w:shd w:val="clear" w:color="auto" w:fill="auto"/>
          </w:tcPr>
          <w:p w14:paraId="065FBFC6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5670" w:type="dxa"/>
            <w:shd w:val="clear" w:color="auto" w:fill="auto"/>
          </w:tcPr>
          <w:p w14:paraId="224CC88D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для ведения личного подсобного хозяйства</w:t>
            </w:r>
          </w:p>
        </w:tc>
      </w:tr>
      <w:tr w:rsidR="00A84B2B" w:rsidRPr="00A84B2B" w14:paraId="26E82782" w14:textId="77777777" w:rsidTr="00C5186F">
        <w:tc>
          <w:tcPr>
            <w:tcW w:w="3969" w:type="dxa"/>
            <w:shd w:val="clear" w:color="auto" w:fill="auto"/>
          </w:tcPr>
          <w:p w14:paraId="55C5E390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B7F856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40% - для размещения индивидуального жилого дома</w:t>
            </w:r>
          </w:p>
          <w:p w14:paraId="63BEB9BB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20% - для размещения индивидуального гаража, хозяйственной постройки</w:t>
            </w:r>
          </w:p>
        </w:tc>
      </w:tr>
      <w:tr w:rsidR="00A84B2B" w:rsidRPr="00A84B2B" w14:paraId="69E9EEEB" w14:textId="77777777" w:rsidTr="00C5186F">
        <w:trPr>
          <w:trHeight w:val="1018"/>
        </w:trPr>
        <w:tc>
          <w:tcPr>
            <w:tcW w:w="3969" w:type="dxa"/>
            <w:shd w:val="clear" w:color="auto" w:fill="auto"/>
          </w:tcPr>
          <w:p w14:paraId="33406145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670" w:type="dxa"/>
            <w:shd w:val="clear" w:color="auto" w:fill="auto"/>
          </w:tcPr>
          <w:p w14:paraId="08A8A62A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3 эт. (10 м.) - для размещения индивидуального жилого дома</w:t>
            </w:r>
          </w:p>
          <w:p w14:paraId="48FB4098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1 эт. (4 м.) - для размещения индивидуального гаража, хозяйственной постройки</w:t>
            </w:r>
          </w:p>
        </w:tc>
      </w:tr>
      <w:tr w:rsidR="00A84B2B" w:rsidRPr="00A84B2B" w14:paraId="5D500F49" w14:textId="77777777" w:rsidTr="00C5186F">
        <w:tc>
          <w:tcPr>
            <w:tcW w:w="3969" w:type="dxa"/>
            <w:shd w:val="clear" w:color="auto" w:fill="auto"/>
          </w:tcPr>
          <w:p w14:paraId="4E7F9632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</w:t>
            </w:r>
            <w:r w:rsidRPr="00A84B2B">
              <w:rPr>
                <w:rFonts w:ascii="Times New Roman" w:eastAsia="Calibri" w:hAnsi="Times New Roman" w:cs="Times New Roman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5670" w:type="dxa"/>
            <w:shd w:val="clear" w:color="auto" w:fill="auto"/>
          </w:tcPr>
          <w:p w14:paraId="0D6DB836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lastRenderedPageBreak/>
              <w:t>3 м. - для размещения индивидуального жилого дома</w:t>
            </w:r>
          </w:p>
          <w:p w14:paraId="4540AD95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1 м. - для размещения индивидуального гаража, хозяйственной постройки</w:t>
            </w:r>
          </w:p>
        </w:tc>
      </w:tr>
      <w:tr w:rsidR="00A84B2B" w:rsidRPr="00EC1B39" w14:paraId="7C35291F" w14:textId="77777777" w:rsidTr="00C5186F">
        <w:tc>
          <w:tcPr>
            <w:tcW w:w="3969" w:type="dxa"/>
            <w:shd w:val="clear" w:color="auto" w:fill="auto"/>
          </w:tcPr>
          <w:p w14:paraId="63673B69" w14:textId="77777777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4B2B">
              <w:rPr>
                <w:rFonts w:ascii="Times New Roman" w:eastAsia="Calibri" w:hAnsi="Times New Roman" w:cs="Times New Roman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5F0776" w14:textId="28544268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84B2B">
              <w:rPr>
                <w:rFonts w:ascii="Times New Roman" w:eastAsia="Calibri" w:hAnsi="Times New Roman" w:cs="Times New Roman"/>
                <w:lang w:val="en-US"/>
              </w:rPr>
              <w:t xml:space="preserve">min 700 </w:t>
            </w:r>
            <w:r w:rsidRPr="00A84B2B">
              <w:rPr>
                <w:rFonts w:ascii="Times New Roman" w:eastAsia="Calibri" w:hAnsi="Times New Roman" w:cs="Times New Roman"/>
              </w:rPr>
              <w:t>кв</w:t>
            </w:r>
            <w:r w:rsidRPr="00A84B2B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C5186F" w:rsidRPr="00C518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84B2B">
              <w:rPr>
                <w:rFonts w:ascii="Times New Roman" w:eastAsia="Calibri" w:hAnsi="Times New Roman" w:cs="Times New Roman"/>
              </w:rPr>
              <w:t>м</w:t>
            </w:r>
            <w:r w:rsidRPr="00A84B2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7AADE4F3" w14:textId="43846619" w:rsidR="00A84B2B" w:rsidRPr="00A84B2B" w:rsidRDefault="00A84B2B" w:rsidP="00A84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84B2B">
              <w:rPr>
                <w:rFonts w:ascii="Times New Roman" w:eastAsia="Calibri" w:hAnsi="Times New Roman" w:cs="Times New Roman"/>
                <w:lang w:val="en-US"/>
              </w:rPr>
              <w:t xml:space="preserve">max 3000 </w:t>
            </w:r>
            <w:r w:rsidRPr="00A84B2B">
              <w:rPr>
                <w:rFonts w:ascii="Times New Roman" w:eastAsia="Calibri" w:hAnsi="Times New Roman" w:cs="Times New Roman"/>
              </w:rPr>
              <w:t>кв</w:t>
            </w:r>
            <w:r w:rsidRPr="00A84B2B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C5186F" w:rsidRPr="00C518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84B2B">
              <w:rPr>
                <w:rFonts w:ascii="Times New Roman" w:eastAsia="Calibri" w:hAnsi="Times New Roman" w:cs="Times New Roman"/>
              </w:rPr>
              <w:t>м</w:t>
            </w:r>
            <w:r w:rsidRPr="00A84B2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</w:tbl>
    <w:p w14:paraId="1E778B5E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</w:p>
    <w:p w14:paraId="6B2A476C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002F5DE" w14:textId="0AD5E6D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84B2B">
        <w:rPr>
          <w:rFonts w:ascii="Times New Roman" w:eastAsia="Calibri" w:hAnsi="Times New Roman" w:cs="Times New Roman"/>
        </w:rPr>
        <w:t xml:space="preserve">Возможность подключения к сетям водоснабжения, водоотведения и теплоснабжения: отсутствует (согласно техническим условиям на возможность подключения, выданным ООО «Городские коммунальные сети» </w:t>
      </w:r>
      <w:r w:rsidRPr="00A84B2B">
        <w:rPr>
          <w:rFonts w:ascii="Times New Roman" w:eastAsia="Calibri" w:hAnsi="Times New Roman" w:cs="Times New Roman"/>
          <w:bCs/>
        </w:rPr>
        <w:t xml:space="preserve">от </w:t>
      </w:r>
      <w:r w:rsidR="00C5186F">
        <w:rPr>
          <w:rFonts w:ascii="Times New Roman" w:eastAsia="Calibri" w:hAnsi="Times New Roman" w:cs="Times New Roman"/>
          <w:bCs/>
        </w:rPr>
        <w:t>07.05.2024</w:t>
      </w:r>
      <w:r w:rsidRPr="00A84B2B">
        <w:rPr>
          <w:rFonts w:ascii="Times New Roman" w:eastAsia="Calibri" w:hAnsi="Times New Roman" w:cs="Times New Roman"/>
          <w:bCs/>
        </w:rPr>
        <w:t xml:space="preserve"> № </w:t>
      </w:r>
      <w:r w:rsidR="00C5186F">
        <w:rPr>
          <w:rFonts w:ascii="Times New Roman" w:eastAsia="Calibri" w:hAnsi="Times New Roman" w:cs="Times New Roman"/>
          <w:bCs/>
        </w:rPr>
        <w:t>65</w:t>
      </w:r>
      <w:r w:rsidRPr="00A84B2B">
        <w:rPr>
          <w:rFonts w:ascii="Times New Roman" w:eastAsia="Calibri" w:hAnsi="Times New Roman" w:cs="Times New Roman"/>
          <w:bCs/>
        </w:rPr>
        <w:t>).</w:t>
      </w:r>
    </w:p>
    <w:p w14:paraId="1C9F1467" w14:textId="40DE95FC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84B2B">
        <w:rPr>
          <w:rFonts w:ascii="Times New Roman" w:eastAsia="Calibri" w:hAnsi="Times New Roman" w:cs="Times New Roman"/>
        </w:rPr>
        <w:t>Возможность подключения к сетям газоснабжения: имеется (согласно письму АО «Газпром газораспределение Ярославль»</w:t>
      </w:r>
      <w:r w:rsidRPr="00A84B2B">
        <w:rPr>
          <w:rFonts w:ascii="Times New Roman" w:eastAsia="Calibri" w:hAnsi="Times New Roman" w:cs="Times New Roman"/>
          <w:bCs/>
        </w:rPr>
        <w:t xml:space="preserve"> от </w:t>
      </w:r>
      <w:r w:rsidR="00C5186F">
        <w:rPr>
          <w:rFonts w:ascii="Times New Roman" w:eastAsia="Calibri" w:hAnsi="Times New Roman" w:cs="Times New Roman"/>
          <w:bCs/>
        </w:rPr>
        <w:t>0</w:t>
      </w:r>
      <w:r w:rsidRPr="00A84B2B">
        <w:rPr>
          <w:rFonts w:ascii="Times New Roman" w:eastAsia="Calibri" w:hAnsi="Times New Roman" w:cs="Times New Roman"/>
          <w:bCs/>
        </w:rPr>
        <w:t>7.0</w:t>
      </w:r>
      <w:r w:rsidR="00C5186F">
        <w:rPr>
          <w:rFonts w:ascii="Times New Roman" w:eastAsia="Calibri" w:hAnsi="Times New Roman" w:cs="Times New Roman"/>
          <w:bCs/>
        </w:rPr>
        <w:t>5</w:t>
      </w:r>
      <w:r w:rsidRPr="00A84B2B">
        <w:rPr>
          <w:rFonts w:ascii="Times New Roman" w:eastAsia="Calibri" w:hAnsi="Times New Roman" w:cs="Times New Roman"/>
          <w:bCs/>
        </w:rPr>
        <w:t>.202</w:t>
      </w:r>
      <w:r w:rsidR="00C5186F">
        <w:rPr>
          <w:rFonts w:ascii="Times New Roman" w:eastAsia="Calibri" w:hAnsi="Times New Roman" w:cs="Times New Roman"/>
          <w:bCs/>
        </w:rPr>
        <w:t>4</w:t>
      </w:r>
      <w:r w:rsidRPr="00A84B2B">
        <w:rPr>
          <w:rFonts w:ascii="Times New Roman" w:eastAsia="Calibri" w:hAnsi="Times New Roman" w:cs="Times New Roman"/>
          <w:bCs/>
        </w:rPr>
        <w:t xml:space="preserve"> № 11-02-11-02/</w:t>
      </w:r>
      <w:r w:rsidR="00C5186F">
        <w:rPr>
          <w:rFonts w:ascii="Times New Roman" w:eastAsia="Calibri" w:hAnsi="Times New Roman" w:cs="Times New Roman"/>
          <w:bCs/>
        </w:rPr>
        <w:t>2089</w:t>
      </w:r>
      <w:r w:rsidRPr="00A84B2B">
        <w:rPr>
          <w:rFonts w:ascii="Times New Roman" w:eastAsia="Calibri" w:hAnsi="Times New Roman" w:cs="Times New Roman"/>
          <w:bCs/>
        </w:rPr>
        <w:t>). Подключение возможно к действующему подземному газопроводу среднего давления диаметром 63 мм в д. Карсаково (собственник – АО «Газпром газораспределение Ярославль»). Ориентировочная протяженность (по прямой) от ближайшей точки подключения составляет около 174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1DDE633A" w14:textId="09A2D6CF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4B2B">
        <w:rPr>
          <w:rFonts w:ascii="Times New Roman" w:eastAsia="Calibri" w:hAnsi="Times New Roman" w:cs="Times New Roman"/>
        </w:rPr>
        <w:t xml:space="preserve">Возможность подключения к сетям связи: имеется (согласно письму ПАО «Ростелеком» от </w:t>
      </w:r>
      <w:r w:rsidR="00C5186F">
        <w:rPr>
          <w:rFonts w:ascii="Times New Roman" w:eastAsia="Calibri" w:hAnsi="Times New Roman" w:cs="Times New Roman"/>
        </w:rPr>
        <w:t>16</w:t>
      </w:r>
      <w:r w:rsidRPr="00A84B2B">
        <w:rPr>
          <w:rFonts w:ascii="Times New Roman" w:eastAsia="Calibri" w:hAnsi="Times New Roman" w:cs="Times New Roman"/>
        </w:rPr>
        <w:t>.0</w:t>
      </w:r>
      <w:r w:rsidR="00C5186F">
        <w:rPr>
          <w:rFonts w:ascii="Times New Roman" w:eastAsia="Calibri" w:hAnsi="Times New Roman" w:cs="Times New Roman"/>
        </w:rPr>
        <w:t>5</w:t>
      </w:r>
      <w:r w:rsidRPr="00A84B2B">
        <w:rPr>
          <w:rFonts w:ascii="Times New Roman" w:eastAsia="Calibri" w:hAnsi="Times New Roman" w:cs="Times New Roman"/>
        </w:rPr>
        <w:t>.202</w:t>
      </w:r>
      <w:r w:rsidR="00C5186F">
        <w:rPr>
          <w:rFonts w:ascii="Times New Roman" w:eastAsia="Calibri" w:hAnsi="Times New Roman" w:cs="Times New Roman"/>
        </w:rPr>
        <w:t>4</w:t>
      </w:r>
      <w:r w:rsidRPr="00A84B2B">
        <w:rPr>
          <w:rFonts w:ascii="Times New Roman" w:eastAsia="Calibri" w:hAnsi="Times New Roman" w:cs="Times New Roman"/>
        </w:rPr>
        <w:t xml:space="preserve"> № 0318/05/</w:t>
      </w:r>
      <w:r w:rsidR="00C5186F">
        <w:rPr>
          <w:rFonts w:ascii="Times New Roman" w:eastAsia="Calibri" w:hAnsi="Times New Roman" w:cs="Times New Roman"/>
        </w:rPr>
        <w:t>1</w:t>
      </w:r>
      <w:r w:rsidRPr="00A84B2B">
        <w:rPr>
          <w:rFonts w:ascii="Times New Roman" w:eastAsia="Calibri" w:hAnsi="Times New Roman" w:cs="Times New Roman"/>
        </w:rPr>
        <w:t>/2</w:t>
      </w:r>
      <w:r w:rsidR="00C5186F">
        <w:rPr>
          <w:rFonts w:ascii="Times New Roman" w:eastAsia="Calibri" w:hAnsi="Times New Roman" w:cs="Times New Roman"/>
        </w:rPr>
        <w:t>4</w:t>
      </w:r>
      <w:r w:rsidRPr="00A84B2B">
        <w:rPr>
          <w:rFonts w:ascii="Times New Roman" w:eastAsia="Calibri" w:hAnsi="Times New Roman" w:cs="Times New Roman"/>
        </w:rPr>
        <w:t>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</w:t>
      </w:r>
    </w:p>
    <w:p w14:paraId="73A1E400" w14:textId="77777777" w:rsidR="00A84B2B" w:rsidRPr="00A84B2B" w:rsidRDefault="00A84B2B" w:rsidP="00A8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EB6DF7" w14:textId="2730C5B2" w:rsidR="00C80E7A" w:rsidRPr="00FB0D7A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68053726"/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F506D2"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C5186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4" w:name="_Hlk168054380"/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 xml:space="preserve">12 672,81 (двенадцать тысяч шестьсот семьдесят два) рубля 81 копейка </w:t>
      </w:r>
      <w:bookmarkEnd w:id="4"/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в год</w:t>
      </w:r>
      <w:r w:rsidRPr="00C5186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6E64EA2" w14:textId="171F9D22" w:rsidR="00C80E7A" w:rsidRPr="00276535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380,18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5186F">
        <w:rPr>
          <w:rFonts w:ascii="Times New Roman" w:eastAsia="Times New Roman" w:hAnsi="Times New Roman" w:cs="Times New Roman"/>
          <w:b/>
          <w:lang w:eastAsia="ru-RU"/>
        </w:rPr>
        <w:t>триста восемьдесят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186F">
        <w:rPr>
          <w:rFonts w:ascii="Times New Roman" w:eastAsia="Times New Roman" w:hAnsi="Times New Roman" w:cs="Times New Roman"/>
          <w:b/>
          <w:lang w:eastAsia="ru-RU"/>
        </w:rPr>
        <w:t>18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C5186F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6375A4" w14:textId="3D463DA6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F506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86F" w:rsidRPr="00C5186F">
        <w:rPr>
          <w:rFonts w:ascii="Times New Roman" w:eastAsia="Times New Roman" w:hAnsi="Times New Roman" w:cs="Times New Roman"/>
          <w:b/>
          <w:bCs/>
          <w:lang w:eastAsia="ru-RU"/>
        </w:rPr>
        <w:t>12 672,81 (двенадцать тысяч шестьсот семьдесят два) рубля 81 копейка</w:t>
      </w:r>
      <w:r w:rsidR="00C5186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3"/>
    <w:p w14:paraId="6EA4F7C8" w14:textId="77777777" w:rsidR="00C80E7A" w:rsidRDefault="00C80E7A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705F96BD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605725" w:rsidRPr="00605725">
        <w:rPr>
          <w:rFonts w:ascii="Times New Roman" w:eastAsia="Times New Roman" w:hAnsi="Times New Roman" w:cs="Times New Roman"/>
          <w:b/>
          <w:bCs/>
          <w:lang w:eastAsia="ru-RU"/>
        </w:rPr>
        <w:t>25.06.2024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30F01842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605725">
        <w:rPr>
          <w:rFonts w:ascii="Times New Roman" w:eastAsia="Times New Roman" w:hAnsi="Times New Roman" w:cs="Times New Roman"/>
          <w:b/>
          <w:lang w:eastAsia="ru-RU"/>
        </w:rPr>
        <w:t xml:space="preserve">23.07.2024 </w:t>
      </w:r>
      <w:r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543319FC" w14:textId="1479037E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605725">
        <w:rPr>
          <w:rFonts w:ascii="Times New Roman" w:eastAsia="Times New Roman" w:hAnsi="Times New Roman" w:cs="Times New Roman"/>
          <w:b/>
          <w:bCs/>
          <w:lang w:eastAsia="ru-RU"/>
        </w:rPr>
        <w:t>24.07.2024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2DDC23ED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605725" w:rsidRPr="00605725">
        <w:rPr>
          <w:rFonts w:ascii="Times New Roman" w:eastAsia="Times New Roman" w:hAnsi="Times New Roman" w:cs="Times New Roman"/>
          <w:b/>
          <w:bCs/>
          <w:lang w:eastAsia="ru-RU"/>
        </w:rPr>
        <w:t>25.07.2024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2A401A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7303ACC5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5" w:name="Par0"/>
      <w:bookmarkEnd w:id="5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03F2B1DB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 w:rsidR="00CF0D7E"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FB6F31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 w:rsidR="00CF0D7E"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A3CAA73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 w:rsidR="00CF0D7E"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</w:t>
      </w:r>
      <w:r w:rsidRPr="0066055A">
        <w:rPr>
          <w:rFonts w:ascii="Times New Roman" w:eastAsia="Times New Roman" w:hAnsi="Times New Roman" w:cs="Times New Roman"/>
          <w:lang w:eastAsia="ru-RU"/>
        </w:rPr>
        <w:lastRenderedPageBreak/>
        <w:t xml:space="preserve">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6" w:name="__RefHeading__33_520497706"/>
      <w:bookmarkStart w:id="7" w:name="__RefHeading__41_520497706"/>
      <w:bookmarkStart w:id="8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6A5E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7D81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1A2C0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7D3CB6E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2A6FBAA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E66844E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2262D9D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E31788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A91DCA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519501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100037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66DE95B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361BCF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185799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FFF852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BDC7D0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62957D" w14:textId="7A26ACC8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8BF765C" w14:textId="242C6B16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14DF4B" w14:textId="56C711D8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045DE4" w14:textId="7892C62C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C977BA" w14:textId="1902EA39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E04368" w14:textId="7986B72F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2E6E13" w14:textId="5041AD3D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29FCAF1" w14:textId="4739217E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5C6C37A" w14:textId="654614F5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9EDBBC" w14:textId="0560A83F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8233068" w14:textId="2904F67A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E7060FD" w14:textId="7845AC5D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F25F8D" w14:textId="24487021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02558B" w14:textId="77777777" w:rsidR="00677106" w:rsidRDefault="0067710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B049EB8" w14:textId="77777777" w:rsidR="00C5186F" w:rsidRDefault="00C5186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540DA876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6"/>
    <w:bookmarkEnd w:id="7"/>
    <w:bookmarkEnd w:id="8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9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9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4FD62550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FE17B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56"/>
      <w:bookmarkEnd w:id="10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1FF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01A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6A8F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CE6"/>
    <w:rsid w:val="00603132"/>
    <w:rsid w:val="006036CB"/>
    <w:rsid w:val="006038AC"/>
    <w:rsid w:val="006044AA"/>
    <w:rsid w:val="00604AC9"/>
    <w:rsid w:val="00605038"/>
    <w:rsid w:val="00605041"/>
    <w:rsid w:val="00605725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10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8F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766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4B2B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1EA4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470E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186F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173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0D7E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2B2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1B39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6D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17BD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admpereslav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16</Pages>
  <Words>8095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453</cp:revision>
  <cp:lastPrinted>2024-05-31T11:29:00Z</cp:lastPrinted>
  <dcterms:created xsi:type="dcterms:W3CDTF">2023-04-11T06:59:00Z</dcterms:created>
  <dcterms:modified xsi:type="dcterms:W3CDTF">2024-06-17T08:47:00Z</dcterms:modified>
</cp:coreProperties>
</file>