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93" w:rsidRPr="005811AB" w:rsidRDefault="00001B93" w:rsidP="00001B93">
      <w:pPr>
        <w:tabs>
          <w:tab w:val="left" w:pos="-2340"/>
          <w:tab w:val="center" w:pos="4677"/>
          <w:tab w:val="right" w:pos="9355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Приложение </w:t>
      </w:r>
      <w:r w:rsidR="00A561DC">
        <w:rPr>
          <w:sz w:val="26"/>
          <w:szCs w:val="26"/>
        </w:rPr>
        <w:t>3</w:t>
      </w:r>
      <w:r w:rsidRPr="005811AB">
        <w:rPr>
          <w:sz w:val="26"/>
          <w:szCs w:val="26"/>
        </w:rPr>
        <w:t xml:space="preserve"> </w:t>
      </w:r>
    </w:p>
    <w:p w:rsidR="00001B93" w:rsidRDefault="00001B93" w:rsidP="00001B93">
      <w:pPr>
        <w:tabs>
          <w:tab w:val="left" w:pos="-2340"/>
          <w:tab w:val="center" w:pos="4677"/>
          <w:tab w:val="right" w:pos="9355"/>
        </w:tabs>
        <w:jc w:val="right"/>
      </w:pPr>
    </w:p>
    <w:p w:rsidR="00001B93" w:rsidRPr="005811AB" w:rsidRDefault="00DE00B1" w:rsidP="00001B93">
      <w:pPr>
        <w:pStyle w:val="a3"/>
        <w:spacing w:after="0"/>
        <w:ind w:left="102" w:firstLine="851"/>
        <w:contextualSpacing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bookmarkStart w:id="0" w:name="_GoBack"/>
      <w:bookmarkEnd w:id="0"/>
      <w:r>
        <w:rPr>
          <w:bCs/>
          <w:sz w:val="26"/>
          <w:szCs w:val="26"/>
        </w:rPr>
        <w:t xml:space="preserve">ценка </w:t>
      </w:r>
      <w:r w:rsidRPr="005811AB">
        <w:rPr>
          <w:bCs/>
          <w:sz w:val="26"/>
          <w:szCs w:val="26"/>
        </w:rPr>
        <w:t>ключевы</w:t>
      </w:r>
      <w:r>
        <w:rPr>
          <w:bCs/>
          <w:sz w:val="26"/>
          <w:szCs w:val="26"/>
        </w:rPr>
        <w:t>х</w:t>
      </w:r>
      <w:r w:rsidRPr="005811AB">
        <w:rPr>
          <w:bCs/>
          <w:sz w:val="26"/>
          <w:szCs w:val="26"/>
        </w:rPr>
        <w:t xml:space="preserve"> показател</w:t>
      </w:r>
      <w:r>
        <w:rPr>
          <w:bCs/>
          <w:sz w:val="26"/>
          <w:szCs w:val="26"/>
        </w:rPr>
        <w:t>ей</w:t>
      </w:r>
    </w:p>
    <w:p w:rsidR="00001B93" w:rsidRPr="005811AB" w:rsidRDefault="00001B93" w:rsidP="00001B93">
      <w:pPr>
        <w:pStyle w:val="a3"/>
        <w:spacing w:after="0"/>
        <w:ind w:left="102" w:firstLine="851"/>
        <w:contextualSpacing/>
        <w:jc w:val="center"/>
        <w:rPr>
          <w:bCs/>
          <w:sz w:val="26"/>
          <w:szCs w:val="26"/>
        </w:rPr>
      </w:pPr>
      <w:r w:rsidRPr="005811AB">
        <w:rPr>
          <w:bCs/>
          <w:sz w:val="26"/>
          <w:szCs w:val="26"/>
        </w:rPr>
        <w:t xml:space="preserve">эффективности антимонопольного комплаенса в Администрации города Переславля-Залесского  </w:t>
      </w:r>
    </w:p>
    <w:p w:rsidR="00001B93" w:rsidRDefault="008D0AA3" w:rsidP="00001B93">
      <w:pPr>
        <w:pStyle w:val="a3"/>
        <w:spacing w:after="0"/>
        <w:ind w:left="102" w:firstLine="851"/>
        <w:contextualSpacing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за 2021</w:t>
      </w:r>
      <w:r w:rsidR="00001B93" w:rsidRPr="005811AB">
        <w:rPr>
          <w:bCs/>
          <w:sz w:val="26"/>
          <w:szCs w:val="26"/>
        </w:rPr>
        <w:t xml:space="preserve"> год </w:t>
      </w:r>
    </w:p>
    <w:p w:rsidR="00001B93" w:rsidRPr="005811AB" w:rsidRDefault="00001B93" w:rsidP="00001B93">
      <w:pPr>
        <w:pStyle w:val="a3"/>
        <w:spacing w:after="0"/>
        <w:ind w:left="102" w:firstLine="851"/>
        <w:contextualSpacing/>
        <w:jc w:val="center"/>
        <w:rPr>
          <w:bCs/>
          <w:sz w:val="26"/>
          <w:szCs w:val="26"/>
        </w:rPr>
      </w:pPr>
    </w:p>
    <w:tbl>
      <w:tblPr>
        <w:tblW w:w="15068" w:type="dxa"/>
        <w:tblInd w:w="-140" w:type="dxa"/>
        <w:tblLayout w:type="fixed"/>
        <w:tblLook w:val="0000"/>
      </w:tblPr>
      <w:tblGrid>
        <w:gridCol w:w="806"/>
        <w:gridCol w:w="6482"/>
        <w:gridCol w:w="1694"/>
        <w:gridCol w:w="2660"/>
        <w:gridCol w:w="1747"/>
        <w:gridCol w:w="1679"/>
      </w:tblGrid>
      <w:tr w:rsidR="00001B93" w:rsidTr="00557CEE">
        <w:trPr>
          <w:tblHeader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64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Наименование ключевого показателя</w:t>
            </w:r>
          </w:p>
        </w:tc>
        <w:tc>
          <w:tcPr>
            <w:tcW w:w="4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Критерии оценки ключевого показателя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Фактически исполнено*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</w:p>
          <w:p w:rsidR="00001B93" w:rsidRDefault="00001B93" w:rsidP="00557CEE">
            <w:pPr>
              <w:pStyle w:val="a3"/>
              <w:jc w:val="center"/>
            </w:pPr>
            <w:r>
              <w:rPr>
                <w:bCs/>
              </w:rPr>
              <w:t>Оценка в баллах</w:t>
            </w:r>
          </w:p>
        </w:tc>
      </w:tr>
      <w:tr w:rsidR="00001B93" w:rsidTr="00557CEE">
        <w:trPr>
          <w:tblHeader/>
        </w:trPr>
        <w:tc>
          <w:tcPr>
            <w:tcW w:w="80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</w:p>
        </w:tc>
        <w:tc>
          <w:tcPr>
            <w:tcW w:w="64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Значение ключевого показателя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Количественное значение ключевого показателя, баллов</w:t>
            </w:r>
          </w:p>
        </w:tc>
        <w:tc>
          <w:tcPr>
            <w:tcW w:w="17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</w:p>
        </w:tc>
      </w:tr>
      <w:tr w:rsidR="00001B93" w:rsidTr="00557CEE">
        <w:trPr>
          <w:tblHeader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</w:pPr>
            <w:r>
              <w:rPr>
                <w:bCs/>
              </w:rPr>
              <w:t>6</w:t>
            </w:r>
          </w:p>
        </w:tc>
      </w:tr>
      <w:tr w:rsidR="00001B93" w:rsidTr="00557CEE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Разработка и утверждение правового акта об антимонопольном комплаенсе (о внесении изменений в такой акт), а также документов, регламентирующих процедуры антимонопольного комплаенса и обеспечение соответствия действующих документов требованиям действующего законодательства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да/нет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 – 10</w:t>
            </w:r>
          </w:p>
          <w:p w:rsidR="00001B93" w:rsidRDefault="003B7029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 xml:space="preserve">нет – </w:t>
            </w:r>
            <w:r w:rsidR="00001B93">
              <w:rPr>
                <w:bCs/>
              </w:rPr>
              <w:t>0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10</w:t>
            </w:r>
          </w:p>
        </w:tc>
      </w:tr>
      <w:tr w:rsidR="00001B93" w:rsidTr="00557CEE"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Проведение мероприятий, направленных на обеспечение соблюдения антимонопольного законодательства (семинары, конференции), а также предупреждение конфликта интересов в деятельности муниципальных служащих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да/нет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 – 5</w:t>
            </w:r>
          </w:p>
          <w:p w:rsidR="00001B93" w:rsidRDefault="003B7029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 xml:space="preserve">нет – </w:t>
            </w:r>
            <w:r w:rsidR="00001B93">
              <w:rPr>
                <w:bCs/>
              </w:rPr>
              <w:t>0</w:t>
            </w: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5</w:t>
            </w:r>
          </w:p>
        </w:tc>
      </w:tr>
      <w:tr w:rsidR="00001B93" w:rsidTr="00557CEE"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pacing w:line="100" w:lineRule="atLeast"/>
              <w:jc w:val="both"/>
              <w:rPr>
                <w:bCs/>
              </w:rPr>
            </w:pPr>
            <w:r>
              <w:rPr>
                <w:bCs/>
              </w:rPr>
              <w:t>Разработка и утверждение карты комплаенс-рисков и плана мероприятий по снижению рисков нарушения антимонопольного законодательства, внесение изменений в указанные документы в соответствии с действующим законодательством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да/нет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 – 5</w:t>
            </w:r>
          </w:p>
          <w:p w:rsidR="00001B93" w:rsidRDefault="003B7029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 xml:space="preserve">нет – </w:t>
            </w:r>
            <w:r w:rsidR="00001B93">
              <w:rPr>
                <w:bCs/>
              </w:rPr>
              <w:t>0</w:t>
            </w: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5</w:t>
            </w:r>
          </w:p>
        </w:tc>
      </w:tr>
      <w:tr w:rsidR="00001B93" w:rsidTr="00557CEE"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Выполнение плана мероприятий по снижению рисков нарушения антимонопольного законодательства (отсутствие необоснованных отклонений от плана)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да/нет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 – 5</w:t>
            </w:r>
          </w:p>
          <w:p w:rsidR="00001B93" w:rsidRDefault="00001B93" w:rsidP="00095CE9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нет – 0</w:t>
            </w: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5</w:t>
            </w:r>
          </w:p>
        </w:tc>
      </w:tr>
      <w:tr w:rsidR="00001B93" w:rsidTr="00557CEE"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both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 xml:space="preserve">Наличие (отсутствие) вступивших в законную силу постановлений по делам об административных </w:t>
            </w:r>
            <w:r>
              <w:rPr>
                <w:bCs/>
                <w:shd w:val="clear" w:color="auto" w:fill="FFFFFF"/>
              </w:rPr>
              <w:lastRenderedPageBreak/>
              <w:t>правонарушениях антимонопольного законодательства, вынесенных Управлением Федеральной антимонопольной службы по Ярославской области, в соответствии с которыми должностным лицам Администрации города Переславля-Залесского назначены административные наказания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lastRenderedPageBreak/>
              <w:t xml:space="preserve"> единиц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отсутствуют – 15;</w:t>
            </w:r>
          </w:p>
          <w:p w:rsidR="00001B93" w:rsidRDefault="00001B93" w:rsidP="00557CEE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lastRenderedPageBreak/>
              <w:t>от 1 до 2 единиц включительно – 8;</w:t>
            </w:r>
          </w:p>
          <w:p w:rsidR="00001B93" w:rsidRDefault="00001B93" w:rsidP="00557CEE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 xml:space="preserve">от 3 единиц и более </w:t>
            </w:r>
            <w:r>
              <w:rPr>
                <w:bCs/>
              </w:rPr>
              <w:t xml:space="preserve">– </w:t>
            </w:r>
            <w:r>
              <w:rPr>
                <w:bCs/>
                <w:shd w:val="clear" w:color="auto" w:fill="FFFFFF"/>
              </w:rPr>
              <w:t>0</w:t>
            </w: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lastRenderedPageBreak/>
              <w:t>отсутствуют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  <w:shd w:val="clear" w:color="auto" w:fill="FFFFFF"/>
              </w:rPr>
              <w:t>15</w:t>
            </w:r>
          </w:p>
        </w:tc>
      </w:tr>
      <w:tr w:rsidR="00001B93" w:rsidTr="00557CEE"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 xml:space="preserve">Проведение мониторинга исполнения мероприятий по снижению рисков нарушения антимонопольного законодательства, подготовка аналитической справки об изменениях и основных аспектах правоприменительной практики в Администрации города Переславля-Залесского,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 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да/нет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 – 3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нет – 0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(за каждый квартал)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0</w:t>
            </w:r>
          </w:p>
        </w:tc>
      </w:tr>
      <w:tr w:rsidR="00001B93" w:rsidTr="00557CEE"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 xml:space="preserve">Подготовка доклада об антимонопольном комплаенсе 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да/нет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 – 8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нет –  0</w:t>
            </w: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8</w:t>
            </w:r>
          </w:p>
        </w:tc>
      </w:tr>
      <w:tr w:rsidR="00001B93" w:rsidTr="00557CEE"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</w:pPr>
            <w:r>
              <w:rPr>
                <w:bCs/>
              </w:rPr>
              <w:t>8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both"/>
              <w:rPr>
                <w:bCs/>
              </w:rPr>
            </w:pPr>
            <w:r>
              <w:t xml:space="preserve">Разработка и размещение на официальном сайте органов местного самоуправления города Переславля-Залесского в информационно-телекоммуникационной сети «Интернет» </w:t>
            </w:r>
            <w:r>
              <w:rPr>
                <w:shd w:val="clear" w:color="auto" w:fill="FFFFFF"/>
              </w:rPr>
              <w:t>муниципальных правовых актов об антимонопольном комплаенсе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да/нет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 – 5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нет – 0</w:t>
            </w: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5</w:t>
            </w:r>
          </w:p>
        </w:tc>
      </w:tr>
      <w:tr w:rsidR="00001B93" w:rsidTr="00557CEE"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Наличие предупреждений в адрес Администрации города Переславля-Залесского о прекращении действий (недопущении бездействия), которые содержат признаки нарушения антимонопольного законодательства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</w:rPr>
              <w:t>единиц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  <w:shd w:val="clear" w:color="auto" w:fill="FFFFFF"/>
              </w:rPr>
              <w:t>отсутствуют – 15;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от 1 до 2 единиц включительно – 5;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от 3 единиц и более –  0</w:t>
            </w: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  <w:r>
              <w:rPr>
                <w:bCs/>
              </w:rPr>
              <w:t>отсутствуют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15</w:t>
            </w:r>
          </w:p>
        </w:tc>
      </w:tr>
      <w:tr w:rsidR="00001B93" w:rsidTr="00557CEE"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10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Проведение анализа выявленных нарушений антимонопольного законодательства в деятельности Администрации города Переславля-Залесского за предыдущие 3 года (наличие предупреждений, жалоб, возбужденных дел, административных наказаний)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да/нет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да – 5;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 xml:space="preserve">нет – 0 </w:t>
            </w: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5</w:t>
            </w:r>
          </w:p>
        </w:tc>
      </w:tr>
      <w:tr w:rsidR="00001B93" w:rsidTr="00557CEE"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both"/>
              <w:rPr>
                <w:bCs/>
              </w:rPr>
            </w:pPr>
            <w:r>
              <w:rPr>
                <w:bCs/>
              </w:rPr>
              <w:t>Отсутствие (наличие) нарушений антимонопольного законодательства в карте комплаенс-рисков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  <w:shd w:val="clear" w:color="auto" w:fill="FFFFFF"/>
              </w:rPr>
            </w:pPr>
            <w:r>
              <w:rPr>
                <w:bCs/>
              </w:rPr>
              <w:t>х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  <w:shd w:val="clear" w:color="auto" w:fill="FFFFFF"/>
              </w:rPr>
              <w:t>отсутствуют – 15;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 xml:space="preserve">низкий уровень </w:t>
            </w:r>
            <w:r>
              <w:rPr>
                <w:bCs/>
                <w:shd w:val="clear" w:color="auto" w:fill="FFFFFF"/>
              </w:rPr>
              <w:t xml:space="preserve">– </w:t>
            </w:r>
            <w:r>
              <w:rPr>
                <w:bCs/>
              </w:rPr>
              <w:t>10;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 xml:space="preserve">незначительный уровень </w:t>
            </w:r>
            <w:r>
              <w:rPr>
                <w:bCs/>
                <w:shd w:val="clear" w:color="auto" w:fill="FFFFFF"/>
              </w:rPr>
              <w:t xml:space="preserve">– </w:t>
            </w:r>
            <w:r>
              <w:rPr>
                <w:bCs/>
              </w:rPr>
              <w:t>5;</w:t>
            </w:r>
          </w:p>
          <w:p w:rsidR="00001B93" w:rsidRDefault="00001B93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 xml:space="preserve">существенный и высокий уровни </w:t>
            </w:r>
            <w:r>
              <w:rPr>
                <w:bCs/>
                <w:shd w:val="clear" w:color="auto" w:fill="FFFFFF"/>
              </w:rPr>
              <w:t xml:space="preserve">– </w:t>
            </w:r>
            <w:r>
              <w:rPr>
                <w:bCs/>
              </w:rPr>
              <w:t>0</w:t>
            </w: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  <w:rPr>
                <w:bCs/>
              </w:rPr>
            </w:pPr>
            <w:r>
              <w:rPr>
                <w:bCs/>
              </w:rPr>
              <w:t>отсутствуют</w:t>
            </w:r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B93" w:rsidRDefault="00001B93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15</w:t>
            </w:r>
          </w:p>
        </w:tc>
      </w:tr>
      <w:tr w:rsidR="00734536" w:rsidTr="00845234">
        <w:tc>
          <w:tcPr>
            <w:tcW w:w="72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536" w:rsidRDefault="00734536" w:rsidP="00557CEE">
            <w:pPr>
              <w:pStyle w:val="a3"/>
              <w:rPr>
                <w:bCs/>
              </w:rPr>
            </w:pPr>
            <w:r>
              <w:rPr>
                <w:bCs/>
              </w:rPr>
              <w:t xml:space="preserve"> ИТОГО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536" w:rsidRDefault="00734536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536" w:rsidRDefault="00734536" w:rsidP="00557CEE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536" w:rsidRDefault="00734536" w:rsidP="00557CEE">
            <w:pPr>
              <w:pStyle w:val="a3"/>
              <w:snapToGrid w:val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х</w:t>
            </w:r>
            <w:proofErr w:type="spellEnd"/>
          </w:p>
        </w:tc>
        <w:tc>
          <w:tcPr>
            <w:tcW w:w="1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536" w:rsidRDefault="00734536" w:rsidP="00557CEE">
            <w:pPr>
              <w:pStyle w:val="a3"/>
              <w:snapToGrid w:val="0"/>
              <w:jc w:val="center"/>
            </w:pPr>
            <w:r>
              <w:rPr>
                <w:bCs/>
              </w:rPr>
              <w:t>88</w:t>
            </w:r>
          </w:p>
        </w:tc>
      </w:tr>
    </w:tbl>
    <w:p w:rsidR="00D93840" w:rsidRDefault="00D93840"/>
    <w:sectPr w:rsidR="00D93840" w:rsidSect="00B208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710" w:bottom="568" w:left="1134" w:header="57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76D" w:rsidRDefault="00D5376D">
      <w:r>
        <w:separator/>
      </w:r>
    </w:p>
  </w:endnote>
  <w:endnote w:type="continuationSeparator" w:id="0">
    <w:p w:rsidR="00D5376D" w:rsidRDefault="00D53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D5376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D5376D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D5376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76D" w:rsidRDefault="00D5376D">
      <w:r>
        <w:separator/>
      </w:r>
    </w:p>
  </w:footnote>
  <w:footnote w:type="continuationSeparator" w:id="0">
    <w:p w:rsidR="00D5376D" w:rsidRDefault="00D53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D5376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D5376D">
    <w:pPr>
      <w:pStyle w:val="a5"/>
    </w:pPr>
  </w:p>
  <w:p w:rsidR="004E3581" w:rsidRDefault="00D5376D">
    <w:pPr>
      <w:pStyle w:val="a5"/>
    </w:pPr>
  </w:p>
  <w:p w:rsidR="004E3581" w:rsidRDefault="00D5376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D5376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422D"/>
    <w:rsid w:val="00001B93"/>
    <w:rsid w:val="00086A96"/>
    <w:rsid w:val="00095CE9"/>
    <w:rsid w:val="003B7029"/>
    <w:rsid w:val="005D3582"/>
    <w:rsid w:val="00705968"/>
    <w:rsid w:val="00734536"/>
    <w:rsid w:val="00802087"/>
    <w:rsid w:val="008D0AA3"/>
    <w:rsid w:val="0092422D"/>
    <w:rsid w:val="00A561DC"/>
    <w:rsid w:val="00AB6F35"/>
    <w:rsid w:val="00B66E48"/>
    <w:rsid w:val="00D1572D"/>
    <w:rsid w:val="00D5376D"/>
    <w:rsid w:val="00D91841"/>
    <w:rsid w:val="00D93840"/>
    <w:rsid w:val="00DD656F"/>
    <w:rsid w:val="00DE00B1"/>
    <w:rsid w:val="00EF55CC"/>
    <w:rsid w:val="00F56D90"/>
    <w:rsid w:val="00FB3E46"/>
    <w:rsid w:val="00FC5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1B93"/>
    <w:pPr>
      <w:spacing w:after="120"/>
    </w:pPr>
  </w:style>
  <w:style w:type="character" w:customStyle="1" w:styleId="a4">
    <w:name w:val="Основной текст Знак"/>
    <w:basedOn w:val="a0"/>
    <w:link w:val="a3"/>
    <w:rsid w:val="00001B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001B93"/>
    <w:pPr>
      <w:suppressLineNumbers/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01B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E00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00B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2021-01-28T05:20:00Z</cp:lastPrinted>
  <dcterms:created xsi:type="dcterms:W3CDTF">2022-01-10T07:44:00Z</dcterms:created>
  <dcterms:modified xsi:type="dcterms:W3CDTF">2022-01-19T08:51:00Z</dcterms:modified>
</cp:coreProperties>
</file>