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2" w:rsidRPr="00B95312" w:rsidRDefault="00B95312" w:rsidP="00B953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12" w:rsidRPr="00B95312" w:rsidRDefault="00B95312" w:rsidP="00B953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Pr="00B95312" w:rsidRDefault="00B95312" w:rsidP="00B9531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95312" w:rsidRPr="00B95312" w:rsidRDefault="00B95312" w:rsidP="00B9531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95312" w:rsidRPr="00B95312" w:rsidRDefault="00B95312" w:rsidP="00B9531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95312" w:rsidRPr="00B95312" w:rsidRDefault="00B95312" w:rsidP="00B953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Pr="00B95312" w:rsidRDefault="00B95312" w:rsidP="00B953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95312" w:rsidRPr="00B95312" w:rsidRDefault="00B95312" w:rsidP="00B953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Pr="00B95312" w:rsidRDefault="00B95312" w:rsidP="00B953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Pr="00B95312" w:rsidRDefault="00B95312" w:rsidP="00B9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60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27.03.2019  </w:t>
      </w: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60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ПОС.03-0675/19</w:t>
      </w:r>
    </w:p>
    <w:p w:rsidR="00B95312" w:rsidRPr="00B95312" w:rsidRDefault="00B95312" w:rsidP="00B9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B95312" w:rsidRPr="00B95312" w:rsidRDefault="00B95312" w:rsidP="00B9531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026E9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</w:t>
      </w:r>
      <w:proofErr w:type="gramStart"/>
      <w:r w:rsidRPr="00C026E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492FE9" w:rsidRPr="00C026E9" w:rsidRDefault="00C026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492FE9" w:rsidRPr="00C026E9">
        <w:rPr>
          <w:rFonts w:ascii="Times New Roman" w:hAnsi="Times New Roman" w:cs="Times New Roman"/>
          <w:sz w:val="26"/>
          <w:szCs w:val="26"/>
        </w:rPr>
        <w:t>»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C026E9" w:rsidRDefault="00492FE9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26E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C026E9">
        <w:rPr>
          <w:rFonts w:ascii="Times New Roman" w:hAnsi="Times New Roman" w:cs="Times New Roman"/>
          <w:bCs/>
          <w:sz w:val="26"/>
          <w:szCs w:val="26"/>
        </w:rPr>
        <w:t xml:space="preserve">со ст. 179 Бюджетного кодекса РФ, </w:t>
      </w:r>
      <w:r w:rsidRPr="00C026E9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C026E9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г. Переславля-Залесского от 05.03.2014 № ПОС.03-0311/14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и реализации» </w:t>
      </w:r>
      <w:proofErr w:type="gramEnd"/>
    </w:p>
    <w:p w:rsidR="00492FE9" w:rsidRPr="00C026E9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B95312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5312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B95312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C026E9" w:rsidRDefault="0042683C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1.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«Обеспечение общественного порядка и противодействие преступности на территории 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92FE9" w:rsidRPr="00C026E9">
        <w:rPr>
          <w:rFonts w:ascii="Times New Roman" w:hAnsi="Times New Roman" w:cs="Times New Roman"/>
          <w:sz w:val="26"/>
          <w:szCs w:val="26"/>
        </w:rPr>
        <w:t>г</w:t>
      </w:r>
      <w:r w:rsidR="00C026E9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492FE9" w:rsidRPr="00C026E9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492FE9" w:rsidRPr="00C026E9" w:rsidRDefault="0042683C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2.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2FE9" w:rsidRPr="00C026E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492FE9" w:rsidRPr="00C026E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492FE9" w:rsidRPr="00C026E9" w:rsidRDefault="00492FE9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026E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26E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92FE9" w:rsidRPr="00C026E9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92FE9" w:rsidRPr="00C026E9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92FE9" w:rsidRPr="00C026E9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492FE9" w:rsidRPr="00C026E9" w:rsidRDefault="00C026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92FE9" w:rsidRPr="00C026E9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1476B0" w:rsidRPr="00C026E9">
        <w:rPr>
          <w:rFonts w:ascii="Times New Roman" w:hAnsi="Times New Roman" w:cs="Times New Roman"/>
          <w:sz w:val="26"/>
          <w:szCs w:val="26"/>
        </w:rPr>
        <w:t>В.А.</w:t>
      </w:r>
      <w:r w:rsidR="0042683C" w:rsidRPr="00C026E9">
        <w:rPr>
          <w:rFonts w:ascii="Times New Roman" w:hAnsi="Times New Roman" w:cs="Times New Roman"/>
          <w:sz w:val="26"/>
          <w:szCs w:val="26"/>
        </w:rPr>
        <w:t xml:space="preserve"> </w:t>
      </w:r>
      <w:r w:rsidR="001476B0" w:rsidRPr="00C026E9">
        <w:rPr>
          <w:rFonts w:ascii="Times New Roman" w:hAnsi="Times New Roman" w:cs="Times New Roman"/>
          <w:sz w:val="26"/>
          <w:szCs w:val="26"/>
        </w:rPr>
        <w:t>А</w:t>
      </w:r>
      <w:r w:rsidR="00492FE9" w:rsidRPr="00C026E9">
        <w:rPr>
          <w:rFonts w:ascii="Times New Roman" w:hAnsi="Times New Roman" w:cs="Times New Roman"/>
          <w:sz w:val="26"/>
          <w:szCs w:val="26"/>
        </w:rPr>
        <w:t>страханцев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5312" w:rsidRDefault="00B95312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Default="00B95312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Default="00B95312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5312" w:rsidRDefault="00B95312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7E7" w:rsidRPr="008317E7" w:rsidRDefault="008317E7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7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8317E7" w:rsidRPr="008317E7" w:rsidRDefault="008317E7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округа </w:t>
      </w:r>
    </w:p>
    <w:p w:rsidR="008317E7" w:rsidRPr="008317E7" w:rsidRDefault="008317E7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7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317E7" w:rsidRPr="008317E7" w:rsidRDefault="008317E7" w:rsidP="008317E7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60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27.03.2019  </w:t>
      </w:r>
      <w:r w:rsidR="00060F0A" w:rsidRPr="00B9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60F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</w:t>
      </w:r>
      <w:r w:rsidR="00060F0A" w:rsidRPr="00060F0A">
        <w:rPr>
          <w:rFonts w:ascii="Times New Roman" w:eastAsia="Times New Roman" w:hAnsi="Times New Roman" w:cs="Times New Roman"/>
          <w:sz w:val="26"/>
          <w:szCs w:val="26"/>
          <w:lang w:eastAsia="ru-RU"/>
        </w:rPr>
        <w:t>03-0675/19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E7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E7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7E7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FE9" w:rsidRPr="008317E7" w:rsidRDefault="00492FE9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E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492FE9" w:rsidRPr="008317E7" w:rsidRDefault="00492FE9" w:rsidP="008317E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E7">
        <w:rPr>
          <w:rFonts w:ascii="Times New Roman" w:hAnsi="Times New Roman" w:cs="Times New Roman"/>
          <w:b/>
          <w:sz w:val="28"/>
          <w:szCs w:val="28"/>
        </w:rPr>
        <w:t>«</w:t>
      </w:r>
      <w:r w:rsidR="008317E7">
        <w:rPr>
          <w:rFonts w:ascii="Times New Roman" w:hAnsi="Times New Roman" w:cs="Times New Roman"/>
          <w:b/>
          <w:sz w:val="28"/>
          <w:szCs w:val="28"/>
        </w:rPr>
        <w:t>ОБЕСПЕЧЕНИЕ ОБЩЕСТВЕННОГО ПОРЯДКА И ПРОТИВОДЕЙСТВИЕ ПРЕСТУПНОСТИ НА ТЕРРИТОРИИ ГОРОДСКОГО ОКРУГА ГОРОД ПЕРЕСЛАВЛЬ-ЗАЛЕССКИЙ</w:t>
      </w:r>
      <w:r w:rsidRPr="008317E7">
        <w:rPr>
          <w:rFonts w:ascii="Times New Roman" w:hAnsi="Times New Roman" w:cs="Times New Roman"/>
          <w:b/>
          <w:sz w:val="28"/>
          <w:szCs w:val="28"/>
        </w:rPr>
        <w:t>»</w:t>
      </w:r>
    </w:p>
    <w:p w:rsidR="00492FE9" w:rsidRPr="00142363" w:rsidRDefault="00492FE9" w:rsidP="0049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E9" w:rsidRPr="00142363" w:rsidRDefault="00492FE9" w:rsidP="00492FE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E9" w:rsidRPr="00142363" w:rsidRDefault="00492FE9" w:rsidP="00492FE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8317E7" w:rsidRDefault="00492FE9" w:rsidP="00EC468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317E7">
        <w:rPr>
          <w:rFonts w:ascii="Times New Roman" w:hAnsi="Times New Roman" w:cs="Times New Roman"/>
          <w:sz w:val="26"/>
          <w:szCs w:val="26"/>
        </w:rPr>
        <w:t>2019 год</w:t>
      </w:r>
    </w:p>
    <w:p w:rsidR="00B95312" w:rsidRDefault="00B95312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17E7" w:rsidRPr="008317E7" w:rsidRDefault="008317E7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17E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</w:t>
      </w:r>
      <w:r w:rsidRPr="008317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8317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492FE9" w:rsidRPr="00142363" w:rsidTr="004F734E">
        <w:tc>
          <w:tcPr>
            <w:tcW w:w="4354" w:type="dxa"/>
          </w:tcPr>
          <w:p w:rsidR="00492FE9" w:rsidRPr="00142363" w:rsidRDefault="009E7162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492FE9" w:rsidRPr="00142363" w:rsidRDefault="00492FE9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ВМР, ГО и ЧС </w:t>
            </w:r>
            <w:r w:rsidR="009E7162">
              <w:rPr>
                <w:rFonts w:ascii="Times New Roman" w:hAnsi="Times New Roman" w:cs="Times New Roman"/>
                <w:sz w:val="24"/>
                <w:szCs w:val="24"/>
              </w:rPr>
              <w:t>Администрации г.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 </w:t>
            </w:r>
          </w:p>
        </w:tc>
      </w:tr>
      <w:tr w:rsidR="00492FE9" w:rsidRPr="00142363" w:rsidTr="004F734E">
        <w:tc>
          <w:tcPr>
            <w:tcW w:w="4354" w:type="dxa"/>
          </w:tcPr>
          <w:p w:rsidR="00492FE9" w:rsidRPr="00142363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5528" w:type="dxa"/>
          </w:tcPr>
          <w:p w:rsidR="00492FE9" w:rsidRPr="00142363" w:rsidRDefault="00492FE9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города Переславля-Залесского Астраханцев Валерий Александрович</w:t>
            </w:r>
          </w:p>
        </w:tc>
      </w:tr>
      <w:tr w:rsidR="00492FE9" w:rsidRPr="00142363" w:rsidTr="004F734E">
        <w:tc>
          <w:tcPr>
            <w:tcW w:w="4354" w:type="dxa"/>
          </w:tcPr>
          <w:p w:rsidR="00492FE9" w:rsidRPr="00142363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3. Сроки реализации муниципальной программы</w:t>
            </w:r>
          </w:p>
        </w:tc>
        <w:tc>
          <w:tcPr>
            <w:tcW w:w="5528" w:type="dxa"/>
          </w:tcPr>
          <w:p w:rsidR="00492FE9" w:rsidRPr="00142363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492FE9" w:rsidRPr="00142363" w:rsidTr="004F734E">
        <w:trPr>
          <w:trHeight w:val="3549"/>
        </w:trPr>
        <w:tc>
          <w:tcPr>
            <w:tcW w:w="4354" w:type="dxa"/>
          </w:tcPr>
          <w:p w:rsidR="00492FE9" w:rsidRPr="00142363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4. Цели муниципальной программы</w:t>
            </w:r>
          </w:p>
        </w:tc>
        <w:tc>
          <w:tcPr>
            <w:tcW w:w="5528" w:type="dxa"/>
          </w:tcPr>
          <w:p w:rsidR="0073504F" w:rsidRDefault="009E716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EC12B2"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мотивации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жителям городского округа город Переславль-Залесский</w:t>
            </w:r>
            <w:r w:rsidR="00EC12B2"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здорового образа жизни;</w:t>
            </w:r>
          </w:p>
          <w:p w:rsidR="009E7162" w:rsidRPr="0073504F" w:rsidRDefault="009E716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правовой культуры населения;</w:t>
            </w:r>
          </w:p>
          <w:p w:rsidR="009E7162" w:rsidRPr="0073504F" w:rsidRDefault="009E716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 реализация потенциала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городского округа;</w:t>
            </w:r>
          </w:p>
          <w:p w:rsidR="009E7162" w:rsidRPr="0073504F" w:rsidRDefault="009E716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уховно-нравственное и патриотическое воспитание подрастающего поколения как приоритет образовательной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политики в городском округе;</w:t>
            </w:r>
          </w:p>
          <w:p w:rsidR="00492FE9" w:rsidRPr="00142363" w:rsidRDefault="009E7162" w:rsidP="009E7162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>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ращение городского округа город Переславль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алесский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культурный центр «Золотого кольца России».</w:t>
            </w:r>
          </w:p>
        </w:tc>
      </w:tr>
      <w:tr w:rsidR="00492FE9" w:rsidRPr="00142363" w:rsidTr="004F734E">
        <w:tc>
          <w:tcPr>
            <w:tcW w:w="4354" w:type="dxa"/>
          </w:tcPr>
          <w:p w:rsidR="00492FE9" w:rsidRPr="00142363" w:rsidRDefault="004F734E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Объем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муниципальной программы</w:t>
            </w:r>
          </w:p>
        </w:tc>
        <w:tc>
          <w:tcPr>
            <w:tcW w:w="5528" w:type="dxa"/>
          </w:tcPr>
          <w:p w:rsidR="00D265C2" w:rsidRDefault="00492FE9" w:rsidP="00D265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F1FE6"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591">
              <w:rPr>
                <w:rFonts w:ascii="Times New Roman" w:hAnsi="Times New Roman" w:cs="Times New Roman"/>
                <w:sz w:val="24"/>
                <w:szCs w:val="24"/>
              </w:rPr>
              <w:t xml:space="preserve"> 007,4</w:t>
            </w:r>
            <w:r w:rsidR="007770BD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 w:rsidR="00D2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34E" w:rsidRPr="004F734E" w:rsidRDefault="004F734E" w:rsidP="00D265C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числе:  </w:t>
            </w:r>
          </w:p>
          <w:p w:rsidR="00492FE9" w:rsidRPr="00142363" w:rsidRDefault="004F734E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0BD"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591">
              <w:rPr>
                <w:rFonts w:ascii="Times New Roman" w:hAnsi="Times New Roman" w:cs="Times New Roman"/>
                <w:sz w:val="24"/>
                <w:szCs w:val="24"/>
              </w:rPr>
              <w:t> 007,4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0BD" w:rsidRPr="001423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734E" w:rsidRPr="004F734E" w:rsidRDefault="004F734E" w:rsidP="004F7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7770BD" w:rsidRPr="00142363" w:rsidRDefault="007770BD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4E" w:rsidRPr="004F734E" w:rsidRDefault="007770BD" w:rsidP="00D265C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 xml:space="preserve"> 408,0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6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34E" w:rsidRPr="004F7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числе:  </w:t>
            </w:r>
          </w:p>
          <w:p w:rsidR="00492FE9" w:rsidRPr="00142363" w:rsidRDefault="004F734E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408,0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246" w:rsidRPr="00142363" w:rsidRDefault="000F6246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4E" w:rsidRDefault="00492FE9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0BD" w:rsidRPr="00142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F734E"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D26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734E"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492FE9" w:rsidRPr="00142363" w:rsidRDefault="004F734E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348,8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6246" w:rsidRPr="00142363" w:rsidRDefault="000F6246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E9" w:rsidRPr="00142363" w:rsidRDefault="00492FE9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91"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D265C2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числе: </w:t>
            </w:r>
          </w:p>
          <w:p w:rsidR="00492FE9" w:rsidRDefault="00D265C2" w:rsidP="00D265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591"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46" w:rsidRPr="001423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93A8B" w:rsidRDefault="00193A8B" w:rsidP="00D265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A8B" w:rsidRDefault="00193A8B" w:rsidP="00D265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бюджету на 2021 год предусмотрено 81,4 тыс. руб., из них:</w:t>
            </w:r>
          </w:p>
          <w:p w:rsidR="00193A8B" w:rsidRPr="00142363" w:rsidRDefault="00193A8B" w:rsidP="00193A8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</w:t>
            </w:r>
            <w:r w:rsidRPr="00193A8B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«Гармонизация межнациональных отношений в городе Переславле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-Залесском»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81,4 тыс. руб., в том числе: </w:t>
            </w:r>
          </w:p>
          <w:p w:rsidR="00193A8B" w:rsidRPr="00142363" w:rsidRDefault="00193A8B" w:rsidP="00193A8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81,4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92FE9" w:rsidRPr="00142363" w:rsidTr="004F734E">
        <w:trPr>
          <w:trHeight w:val="690"/>
        </w:trPr>
        <w:tc>
          <w:tcPr>
            <w:tcW w:w="4354" w:type="dxa"/>
          </w:tcPr>
          <w:p w:rsidR="00492FE9" w:rsidRPr="00142363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492FE9" w:rsidRPr="0073504F" w:rsidRDefault="00492FE9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 w:rsidR="0073504F" w:rsidRPr="0073504F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на территории городского округа город Переславль-Залесский» на 2019-2021 годы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FE9" w:rsidRPr="0073504F" w:rsidRDefault="00492FE9" w:rsidP="00A1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</w:t>
            </w:r>
            <w:r w:rsidR="0073504F" w:rsidRPr="00142363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04F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на территории </w:t>
            </w:r>
            <w:r w:rsidR="007350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73504F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73504F">
              <w:rPr>
                <w:rFonts w:ascii="Times New Roman" w:hAnsi="Times New Roman" w:cs="Times New Roman"/>
                <w:sz w:val="24"/>
                <w:szCs w:val="24"/>
              </w:rPr>
              <w:t>есла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>вль-Залесский</w:t>
            </w:r>
            <w:r w:rsidR="007350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3504F" w:rsidRPr="00142363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735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504F"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3504F">
              <w:rPr>
                <w:rFonts w:ascii="Times New Roman" w:hAnsi="Times New Roman" w:cs="Times New Roman"/>
                <w:sz w:val="24"/>
                <w:szCs w:val="24"/>
              </w:rPr>
              <w:t>21 годы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3504F"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EB1" w:rsidRDefault="000B0C14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 w:rsidR="00492FE9" w:rsidRPr="0073504F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обороту» на 201</w:t>
            </w:r>
            <w:r w:rsidR="00EC12B2" w:rsidRPr="00735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FE9" w:rsidRPr="0073504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>21 годы;</w:t>
            </w:r>
          </w:p>
          <w:p w:rsidR="00EC12B2" w:rsidRPr="00142363" w:rsidRDefault="00EC12B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04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«Гармонизация </w:t>
            </w:r>
            <w:r w:rsidRPr="00735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отношений в городе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</w:t>
            </w:r>
            <w:r w:rsidR="009D264F">
              <w:rPr>
                <w:rFonts w:ascii="Times New Roman" w:hAnsi="Times New Roman" w:cs="Times New Roman"/>
                <w:sz w:val="24"/>
                <w:szCs w:val="24"/>
              </w:rPr>
              <w:t>-Залесском» на 2018 – 2020 годы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FE9" w:rsidRPr="00142363" w:rsidTr="004F734E">
        <w:trPr>
          <w:trHeight w:val="690"/>
        </w:trPr>
        <w:tc>
          <w:tcPr>
            <w:tcW w:w="4354" w:type="dxa"/>
          </w:tcPr>
          <w:p w:rsidR="00492FE9" w:rsidRPr="00142363" w:rsidRDefault="00A13EB1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5528" w:type="dxa"/>
          </w:tcPr>
          <w:p w:rsidR="00492FE9" w:rsidRPr="00142363" w:rsidRDefault="00492FE9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города Переславля-Залесского Астраханцев</w:t>
            </w:r>
            <w:r w:rsidR="000B0C1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Александрович, 2-00-18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FE9" w:rsidRPr="00142363" w:rsidRDefault="00492FE9" w:rsidP="00A13E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 xml:space="preserve"> ВМР</w:t>
            </w:r>
            <w:r w:rsidR="00A13EB1" w:rsidRPr="00142363">
              <w:rPr>
                <w:rFonts w:ascii="Times New Roman" w:hAnsi="Times New Roman" w:cs="Times New Roman"/>
                <w:sz w:val="24"/>
                <w:szCs w:val="24"/>
              </w:rPr>
              <w:t>, ГО и ЧС</w:t>
            </w:r>
            <w:r w:rsidR="00A13E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Переславля-Залесского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Митюнин Андрей Николаевич, тел. 3-45-95</w:t>
            </w:r>
          </w:p>
        </w:tc>
      </w:tr>
      <w:tr w:rsidR="00492FE9" w:rsidRPr="00142363" w:rsidTr="004F734E">
        <w:tc>
          <w:tcPr>
            <w:tcW w:w="4354" w:type="dxa"/>
          </w:tcPr>
          <w:p w:rsidR="00492FE9" w:rsidRPr="00142363" w:rsidRDefault="00A13EB1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13EB1">
              <w:rPr>
                <w:rFonts w:ascii="Times New Roman" w:hAnsi="Times New Roman" w:cs="Times New Roman"/>
                <w:sz w:val="24"/>
                <w:szCs w:val="24"/>
              </w:rPr>
              <w:t>8. Ссылка на электронную версию муниципальной программы</w:t>
            </w:r>
          </w:p>
        </w:tc>
        <w:tc>
          <w:tcPr>
            <w:tcW w:w="5528" w:type="dxa"/>
          </w:tcPr>
          <w:p w:rsidR="00492FE9" w:rsidRPr="00142363" w:rsidRDefault="00EC12B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https://admpereslavl.ru/normativno-pravovye-akty </w:t>
            </w:r>
          </w:p>
        </w:tc>
      </w:tr>
    </w:tbl>
    <w:p w:rsidR="00492FE9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13EB1" w:rsidRPr="00A13EB1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EB1">
        <w:rPr>
          <w:rFonts w:ascii="Times New Roman" w:eastAsia="Calibri" w:hAnsi="Times New Roman" w:cs="Times New Roman"/>
          <w:b/>
          <w:sz w:val="26"/>
          <w:szCs w:val="26"/>
        </w:rPr>
        <w:t>II. Общая характеристика сферы реализации</w:t>
      </w:r>
    </w:p>
    <w:p w:rsidR="00A13EB1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EB1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</w:p>
    <w:p w:rsidR="00A13EB1" w:rsidRDefault="00903C0E" w:rsidP="00A1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1) в сфере борьбы с преступностью:</w:t>
      </w:r>
    </w:p>
    <w:p w:rsidR="000F1FE6" w:rsidRPr="00903C0E" w:rsidRDefault="000F1FE6" w:rsidP="00903C0E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Состояние общественного порядка и преступности на улицах и в других общественных местах городского округа город Переславль-Залесский является одним из главных вопросов организации работы по обеспечению безопасности населения и имеет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FE6" w:rsidRPr="00903C0E" w:rsidRDefault="000F1FE6" w:rsidP="00903C0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криминогенная обстановка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продолжает оставаться сложной. </w:t>
      </w:r>
    </w:p>
    <w:p w:rsidR="000F1FE6" w:rsidRPr="00903C0E" w:rsidRDefault="000F1FE6" w:rsidP="00903C0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За 9 месяцев 2018 года на территории городского округа </w:t>
      </w:r>
      <w:r w:rsidRPr="00903C0E">
        <w:rPr>
          <w:rFonts w:ascii="Times New Roman" w:hAnsi="Times New Roman" w:cs="Times New Roman"/>
          <w:b/>
          <w:sz w:val="26"/>
          <w:szCs w:val="26"/>
        </w:rPr>
        <w:t>з</w:t>
      </w:r>
      <w:r w:rsidRPr="00903C0E">
        <w:rPr>
          <w:rFonts w:ascii="Times New Roman" w:hAnsi="Times New Roman" w:cs="Times New Roman"/>
          <w:sz w:val="26"/>
          <w:szCs w:val="26"/>
        </w:rPr>
        <w:t>арегистрировано 728 преступлений (за 9 месяцев 2017 года – 616 преступлений).</w:t>
      </w:r>
    </w:p>
    <w:p w:rsidR="000F1FE6" w:rsidRPr="00903C0E" w:rsidRDefault="000F1FE6" w:rsidP="00903C0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Анализ состояния преступности на территории городского округа город Переславль-Залесский и осуществления охраны общест</w:t>
      </w:r>
      <w:r w:rsidR="0073504F" w:rsidRPr="00903C0E">
        <w:rPr>
          <w:rFonts w:ascii="Times New Roman" w:hAnsi="Times New Roman" w:cs="Times New Roman"/>
          <w:sz w:val="26"/>
          <w:szCs w:val="26"/>
        </w:rPr>
        <w:t>венного порядка сотрудниками О</w:t>
      </w:r>
      <w:r w:rsidRPr="00903C0E">
        <w:rPr>
          <w:rFonts w:ascii="Times New Roman" w:hAnsi="Times New Roman" w:cs="Times New Roman"/>
          <w:sz w:val="26"/>
          <w:szCs w:val="26"/>
        </w:rPr>
        <w:t>МВД России</w:t>
      </w:r>
      <w:r w:rsidR="0073504F" w:rsidRPr="00903C0E">
        <w:rPr>
          <w:rFonts w:ascii="Times New Roman" w:hAnsi="Times New Roman" w:cs="Times New Roman"/>
          <w:sz w:val="26"/>
          <w:szCs w:val="26"/>
        </w:rPr>
        <w:t xml:space="preserve"> по городскому округу город Переславль-Залесский</w:t>
      </w:r>
      <w:r w:rsidRPr="00903C0E">
        <w:rPr>
          <w:rFonts w:ascii="Times New Roman" w:hAnsi="Times New Roman" w:cs="Times New Roman"/>
          <w:sz w:val="26"/>
          <w:szCs w:val="26"/>
        </w:rPr>
        <w:t xml:space="preserve"> за 9 месяцев 2018 года в сравнении с аналогичным периодом 2017 года хар</w:t>
      </w:r>
      <w:r w:rsidR="000B0C14" w:rsidRPr="00903C0E">
        <w:rPr>
          <w:rFonts w:ascii="Times New Roman" w:hAnsi="Times New Roman" w:cs="Times New Roman"/>
          <w:sz w:val="26"/>
          <w:szCs w:val="26"/>
        </w:rPr>
        <w:t>актеризуется следующим образом:</w:t>
      </w:r>
    </w:p>
    <w:tbl>
      <w:tblPr>
        <w:tblStyle w:val="11"/>
        <w:tblW w:w="0" w:type="auto"/>
        <w:tblLook w:val="04A0"/>
      </w:tblPr>
      <w:tblGrid>
        <w:gridCol w:w="4248"/>
        <w:gridCol w:w="2551"/>
        <w:gridCol w:w="2546"/>
      </w:tblGrid>
      <w:tr w:rsidR="000F1FE6" w:rsidRPr="00142363" w:rsidTr="00682A6F">
        <w:tc>
          <w:tcPr>
            <w:tcW w:w="4248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i/>
                <w:sz w:val="24"/>
                <w:szCs w:val="24"/>
              </w:rPr>
            </w:pPr>
            <w:r w:rsidRPr="00142363">
              <w:rPr>
                <w:i/>
                <w:sz w:val="24"/>
                <w:szCs w:val="24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i/>
                <w:sz w:val="24"/>
                <w:szCs w:val="24"/>
              </w:rPr>
            </w:pPr>
            <w:r w:rsidRPr="00142363">
              <w:rPr>
                <w:i/>
                <w:sz w:val="24"/>
                <w:szCs w:val="24"/>
                <w:lang w:val="en-US"/>
              </w:rPr>
              <w:t>9</w:t>
            </w:r>
            <w:r w:rsidRPr="00142363">
              <w:rPr>
                <w:i/>
                <w:sz w:val="24"/>
                <w:szCs w:val="24"/>
              </w:rPr>
              <w:t xml:space="preserve"> месяцев 2017 года</w:t>
            </w:r>
          </w:p>
        </w:tc>
        <w:tc>
          <w:tcPr>
            <w:tcW w:w="2546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i/>
                <w:sz w:val="24"/>
                <w:szCs w:val="24"/>
              </w:rPr>
            </w:pPr>
            <w:r w:rsidRPr="00142363">
              <w:rPr>
                <w:i/>
                <w:sz w:val="24"/>
                <w:szCs w:val="24"/>
              </w:rPr>
              <w:t>9 месяцев 2018 года</w:t>
            </w:r>
          </w:p>
        </w:tc>
      </w:tr>
      <w:tr w:rsidR="000F1FE6" w:rsidRPr="00142363" w:rsidTr="00682A6F">
        <w:tc>
          <w:tcPr>
            <w:tcW w:w="4248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3</w:t>
            </w:r>
          </w:p>
        </w:tc>
      </w:tr>
      <w:tr w:rsidR="000F1FE6" w:rsidRPr="00142363" w:rsidTr="00682A6F">
        <w:tc>
          <w:tcPr>
            <w:tcW w:w="4248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Умышленное нанесение тяжкого вреда здоровью, ед.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9</w:t>
            </w:r>
          </w:p>
        </w:tc>
      </w:tr>
      <w:tr w:rsidR="000F1FE6" w:rsidRPr="00142363" w:rsidTr="00682A6F">
        <w:tc>
          <w:tcPr>
            <w:tcW w:w="4248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Кража, ед.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  <w:lang w:val="en-US"/>
              </w:rPr>
            </w:pPr>
            <w:r w:rsidRPr="00142363">
              <w:rPr>
                <w:sz w:val="24"/>
                <w:szCs w:val="24"/>
                <w:lang w:val="en-US"/>
              </w:rPr>
              <w:t>241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  <w:lang w:val="en-US"/>
              </w:rPr>
              <w:t>347</w:t>
            </w:r>
          </w:p>
        </w:tc>
      </w:tr>
      <w:tr w:rsidR="000F1FE6" w:rsidRPr="00142363" w:rsidTr="00682A6F">
        <w:tc>
          <w:tcPr>
            <w:tcW w:w="4248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Преступления, совершенные в общественных местах, в том</w:t>
            </w:r>
          </w:p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sz w:val="24"/>
                <w:szCs w:val="24"/>
              </w:rPr>
            </w:pPr>
            <w:proofErr w:type="gramStart"/>
            <w:r w:rsidRPr="00142363">
              <w:rPr>
                <w:sz w:val="24"/>
                <w:szCs w:val="24"/>
              </w:rPr>
              <w:t>числе</w:t>
            </w:r>
            <w:proofErr w:type="gramEnd"/>
            <w:r w:rsidRPr="00142363">
              <w:rPr>
                <w:sz w:val="24"/>
                <w:szCs w:val="24"/>
              </w:rPr>
              <w:t xml:space="preserve"> на улице, ед.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183</w:t>
            </w:r>
          </w:p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93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252</w:t>
            </w:r>
          </w:p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141</w:t>
            </w:r>
          </w:p>
        </w:tc>
      </w:tr>
      <w:tr w:rsidR="000F1FE6" w:rsidRPr="00142363" w:rsidTr="00682A6F">
        <w:tc>
          <w:tcPr>
            <w:tcW w:w="4248" w:type="dxa"/>
            <w:shd w:val="clear" w:color="auto" w:fill="auto"/>
          </w:tcPr>
          <w:p w:rsidR="000F1FE6" w:rsidRPr="00142363" w:rsidRDefault="000F1FE6" w:rsidP="00682A6F">
            <w:pPr>
              <w:spacing w:after="0" w:line="240" w:lineRule="auto"/>
              <w:ind w:right="318"/>
              <w:jc w:val="both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13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F1FE6" w:rsidRPr="00142363" w:rsidRDefault="000F1FE6" w:rsidP="00682A6F">
            <w:pPr>
              <w:spacing w:after="0" w:line="240" w:lineRule="auto"/>
              <w:ind w:right="318"/>
              <w:jc w:val="center"/>
              <w:rPr>
                <w:sz w:val="24"/>
                <w:szCs w:val="24"/>
              </w:rPr>
            </w:pPr>
            <w:r w:rsidRPr="00142363">
              <w:rPr>
                <w:sz w:val="24"/>
                <w:szCs w:val="24"/>
              </w:rPr>
              <w:t>10</w:t>
            </w:r>
          </w:p>
        </w:tc>
      </w:tr>
    </w:tbl>
    <w:p w:rsidR="00682A6F" w:rsidRDefault="00682A6F" w:rsidP="00903C0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682A6F" w:rsidRPr="00682A6F" w:rsidRDefault="00682A6F" w:rsidP="00682A6F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2A6F">
        <w:rPr>
          <w:rFonts w:ascii="Times New Roman" w:hAnsi="Times New Roman" w:cs="Times New Roman"/>
          <w:b/>
          <w:sz w:val="26"/>
          <w:szCs w:val="26"/>
        </w:rPr>
        <w:t>2) в сфере профилактики безнадзорности, правонарушений и защиты прав несовершеннолетних: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По состоянию на 1 января 2018 года в городском округе город</w:t>
      </w:r>
      <w:r w:rsidR="00682A6F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  <w:r w:rsidR="0073504F" w:rsidRPr="00903C0E">
        <w:rPr>
          <w:rFonts w:ascii="Times New Roman" w:hAnsi="Times New Roman" w:cs="Times New Roman"/>
          <w:sz w:val="26"/>
          <w:szCs w:val="26"/>
        </w:rPr>
        <w:t xml:space="preserve"> </w:t>
      </w:r>
      <w:r w:rsidRPr="00903C0E">
        <w:rPr>
          <w:rFonts w:ascii="Times New Roman" w:hAnsi="Times New Roman" w:cs="Times New Roman"/>
          <w:sz w:val="26"/>
          <w:szCs w:val="26"/>
        </w:rPr>
        <w:t>проживает 10513</w:t>
      </w:r>
      <w:r w:rsidRPr="00903C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3C0E">
        <w:rPr>
          <w:rFonts w:ascii="Times New Roman" w:hAnsi="Times New Roman" w:cs="Times New Roman"/>
          <w:sz w:val="26"/>
          <w:szCs w:val="26"/>
        </w:rPr>
        <w:t>несовершеннолетних в возрасте от 0 до 18 лет, 7562 семьи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Вместе с тем, социальные факторы по-прежнему остаются одной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преступность.</w:t>
      </w:r>
      <w:r w:rsidRPr="00903C0E">
        <w:rPr>
          <w:rFonts w:ascii="Times New Roman" w:hAnsi="Times New Roman" w:cs="Times New Roman"/>
          <w:color w:val="000000"/>
          <w:sz w:val="26"/>
          <w:szCs w:val="26"/>
        </w:rPr>
        <w:t xml:space="preserve"> Одной из актуальных проблем является жестокое обращение с детьми, включая физическое, эмоциональное, </w:t>
      </w:r>
      <w:r w:rsidRPr="00903C0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ненадлежащее исполнение родителями своих обязанностей. </w:t>
      </w:r>
      <w:r w:rsidRPr="00903C0E">
        <w:rPr>
          <w:rFonts w:ascii="Times New Roman" w:hAnsi="Times New Roman" w:cs="Times New Roman"/>
          <w:sz w:val="26"/>
          <w:szCs w:val="26"/>
        </w:rPr>
        <w:t>Проблемы детской безнадзорности, профилактики правонарушений среди несовершеннолетних продолжают оставаться острыми.</w:t>
      </w:r>
      <w:r w:rsidRPr="00903C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3C0E">
        <w:rPr>
          <w:rFonts w:ascii="Times New Roman" w:hAnsi="Times New Roman" w:cs="Times New Roman"/>
          <w:sz w:val="26"/>
          <w:szCs w:val="26"/>
        </w:rPr>
        <w:t xml:space="preserve">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пожарах. В связи с этим необходима профилактика пожарной безопасности и подготовка к осенне-зимнему периоду в семьях с детьми, находящимися в трудной жизненной ситуации, дома которых устарели, печи постепенно ветшают. 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Большая территориальная протяженность городского округа, наличие железной дороги, предполагает и увеличивает риск совершение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03C0E">
        <w:rPr>
          <w:rFonts w:ascii="Times New Roman" w:eastAsia="Arial Unicode MS" w:hAnsi="Times New Roman" w:cs="Times New Roman"/>
          <w:sz w:val="26"/>
          <w:szCs w:val="26"/>
        </w:rPr>
        <w:t>По состоянию на 01.08.2018 года на учете территориальной комиссии по делам несовершеннолетних и защите их прав городского округа город</w:t>
      </w:r>
      <w:r w:rsidR="00682A6F">
        <w:rPr>
          <w:rFonts w:ascii="Times New Roman" w:eastAsia="Arial Unicode MS" w:hAnsi="Times New Roman" w:cs="Times New Roman"/>
          <w:sz w:val="26"/>
          <w:szCs w:val="26"/>
        </w:rPr>
        <w:t xml:space="preserve"> Переславль</w:t>
      </w:r>
      <w:r w:rsidRPr="00903C0E">
        <w:rPr>
          <w:rFonts w:ascii="Times New Roman" w:eastAsia="Arial Unicode MS" w:hAnsi="Times New Roman" w:cs="Times New Roman"/>
          <w:sz w:val="26"/>
          <w:szCs w:val="26"/>
        </w:rPr>
        <w:t>-Залесск</w:t>
      </w:r>
      <w:r w:rsidR="00682A6F">
        <w:rPr>
          <w:rFonts w:ascii="Times New Roman" w:eastAsia="Arial Unicode MS" w:hAnsi="Times New Roman" w:cs="Times New Roman"/>
          <w:sz w:val="26"/>
          <w:szCs w:val="26"/>
        </w:rPr>
        <w:t>ий</w:t>
      </w:r>
      <w:r w:rsidRPr="00903C0E">
        <w:rPr>
          <w:rFonts w:ascii="Times New Roman" w:eastAsia="Arial Unicode MS" w:hAnsi="Times New Roman" w:cs="Times New Roman"/>
          <w:sz w:val="26"/>
          <w:szCs w:val="26"/>
        </w:rPr>
        <w:t xml:space="preserve"> состоит 16 семей, в них 32 ребенка. </w:t>
      </w:r>
      <w:proofErr w:type="gramStart"/>
      <w:r w:rsidRPr="00903C0E">
        <w:rPr>
          <w:rFonts w:ascii="Times New Roman" w:eastAsia="Arial Unicode MS" w:hAnsi="Times New Roman" w:cs="Times New Roman"/>
          <w:sz w:val="26"/>
          <w:szCs w:val="26"/>
        </w:rPr>
        <w:t>На конец</w:t>
      </w:r>
      <w:proofErr w:type="gramEnd"/>
      <w:r w:rsidRPr="00903C0E">
        <w:rPr>
          <w:rFonts w:ascii="Times New Roman" w:eastAsia="Arial Unicode MS" w:hAnsi="Times New Roman" w:cs="Times New Roman"/>
          <w:sz w:val="26"/>
          <w:szCs w:val="26"/>
        </w:rPr>
        <w:t xml:space="preserve"> 2017 года на учете состояло 20 семей, в них 40 детей. 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03C0E">
        <w:rPr>
          <w:rFonts w:ascii="Times New Roman" w:eastAsia="Arial Unicode MS" w:hAnsi="Times New Roman" w:cs="Times New Roman"/>
          <w:sz w:val="26"/>
          <w:szCs w:val="26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56"/>
        <w:gridCol w:w="1620"/>
        <w:gridCol w:w="1620"/>
        <w:gridCol w:w="1620"/>
      </w:tblGrid>
      <w:tr w:rsidR="000F1FE6" w:rsidRPr="00142363" w:rsidTr="00FF5291">
        <w:trPr>
          <w:trHeight w:val="518"/>
        </w:trPr>
        <w:tc>
          <w:tcPr>
            <w:tcW w:w="2988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b/>
                <w:sz w:val="24"/>
                <w:szCs w:val="24"/>
              </w:rPr>
              <w:t>на 01.01.2016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b/>
                <w:sz w:val="24"/>
                <w:szCs w:val="24"/>
              </w:rPr>
              <w:t>на 01.01.2017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b/>
                <w:sz w:val="24"/>
                <w:szCs w:val="24"/>
              </w:rPr>
              <w:t>на 01.01.2018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b/>
                <w:sz w:val="24"/>
                <w:szCs w:val="24"/>
              </w:rPr>
              <w:t>на 01.08.2018</w:t>
            </w:r>
          </w:p>
        </w:tc>
      </w:tr>
      <w:tr w:rsidR="000F1FE6" w:rsidRPr="00142363" w:rsidTr="00FF5291">
        <w:tc>
          <w:tcPr>
            <w:tcW w:w="2988" w:type="dxa"/>
          </w:tcPr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проживающих в городском округе, чел.</w:t>
            </w:r>
          </w:p>
        </w:tc>
        <w:tc>
          <w:tcPr>
            <w:tcW w:w="1656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10890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10861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10659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10513</w:t>
            </w:r>
          </w:p>
        </w:tc>
      </w:tr>
      <w:tr w:rsidR="000F1FE6" w:rsidRPr="00142363" w:rsidTr="00FF5291">
        <w:tc>
          <w:tcPr>
            <w:tcW w:w="2988" w:type="dxa"/>
          </w:tcPr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F1FE6" w:rsidRPr="00142363" w:rsidTr="00FF5291">
        <w:tc>
          <w:tcPr>
            <w:tcW w:w="2988" w:type="dxa"/>
          </w:tcPr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1FE6" w:rsidRPr="00142363" w:rsidTr="00FF5291">
        <w:tc>
          <w:tcPr>
            <w:tcW w:w="2988" w:type="dxa"/>
          </w:tcPr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состоящих на учете всего, чел.</w:t>
            </w:r>
          </w:p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напитков;</w:t>
            </w:r>
          </w:p>
          <w:p w:rsidR="000F1FE6" w:rsidRPr="00142363" w:rsidRDefault="000F1FE6" w:rsidP="0068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токсических, наркотических веществ.</w:t>
            </w:r>
          </w:p>
        </w:tc>
        <w:tc>
          <w:tcPr>
            <w:tcW w:w="1656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FE6" w:rsidRPr="00142363" w:rsidRDefault="000F1FE6" w:rsidP="00682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1FE6" w:rsidRPr="00903C0E" w:rsidRDefault="000F1FE6" w:rsidP="00682A6F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Ежегодно в городском округе снижается количество семей и детей, находящихся в социально опасном положении; количество несовершеннолетних, </w:t>
      </w:r>
      <w:r w:rsidRPr="00903C0E">
        <w:rPr>
          <w:rFonts w:ascii="Times New Roman" w:hAnsi="Times New Roman" w:cs="Times New Roman"/>
          <w:sz w:val="26"/>
          <w:szCs w:val="26"/>
        </w:rPr>
        <w:lastRenderedPageBreak/>
        <w:t xml:space="preserve">состоящих на учете в территориальной комиссии по делам несовершеннолетних и защите их прав. 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Вместе с тем возросло количество административных правонарушений, совершенных несовершеннолетними, с 72 за 8 месяцев 2017 года до 103 за аналогичный период 2018 года. Из них 61 правонарушение (59%) связано с нарушением Федерального закона о</w:t>
      </w:r>
      <w:r w:rsidRPr="00903C0E">
        <w:rPr>
          <w:rFonts w:ascii="Times New Roman" w:eastAsia="Arial Unicode MS" w:hAnsi="Times New Roman" w:cs="Times New Roman"/>
          <w:sz w:val="26"/>
          <w:szCs w:val="26"/>
        </w:rPr>
        <w:t xml:space="preserve">т 23.02.2013 № 15-ФЗ «Об охране здоровья граждан от воздействия окружающего табачного дыма и последствий потребления табака», 31 правонарушение (30%) </w:t>
      </w:r>
      <w:r w:rsidRPr="00903C0E">
        <w:rPr>
          <w:rFonts w:ascii="Times New Roman" w:hAnsi="Times New Roman" w:cs="Times New Roman"/>
          <w:sz w:val="26"/>
          <w:szCs w:val="26"/>
        </w:rPr>
        <w:t>связанно с употреблением алкогольной и спиртосодержащей продукции в общественных местах, 8</w:t>
      </w:r>
      <w:r w:rsidRPr="00903C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03C0E">
        <w:rPr>
          <w:rFonts w:ascii="Times New Roman" w:hAnsi="Times New Roman" w:cs="Times New Roman"/>
          <w:sz w:val="26"/>
          <w:szCs w:val="26"/>
        </w:rPr>
        <w:t xml:space="preserve">правонарушений (7,7%) мелкое хищение на объектах торговли. Произошел рост совершения подростками общественно опасных деяний, правонарушений до достижения возраста привлечения к административной ответственности. Особенно возросло количество правонарушений, связанных с порчей чужого имущества. В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с чем необходимо усилить профилактическую работу в образовательных организациях начального и среднего звена по формирования правовой грамотности подростков. </w:t>
      </w:r>
    </w:p>
    <w:p w:rsidR="000F1FE6" w:rsidRPr="00903C0E" w:rsidRDefault="000F1FE6" w:rsidP="00682A6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Остается высоким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2018 года за данные правонарушения привлечен к ответственности 181</w:t>
      </w:r>
      <w:r w:rsidRPr="00903C0E">
        <w:rPr>
          <w:rFonts w:ascii="Times New Roman" w:hAnsi="Times New Roman" w:cs="Times New Roman"/>
          <w:color w:val="C0504D"/>
          <w:sz w:val="26"/>
          <w:szCs w:val="26"/>
        </w:rPr>
        <w:t xml:space="preserve"> </w:t>
      </w:r>
      <w:r w:rsidRPr="00903C0E">
        <w:rPr>
          <w:rFonts w:ascii="Times New Roman" w:hAnsi="Times New Roman" w:cs="Times New Roman"/>
          <w:sz w:val="26"/>
          <w:szCs w:val="26"/>
        </w:rPr>
        <w:t xml:space="preserve">родитель (законный представитель). За аналогичный период 2017 года – 216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0F1FE6" w:rsidRPr="00903C0E" w:rsidRDefault="000F1FE6" w:rsidP="00B703C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Наличие факторов социального риска способствуют возникновению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 поведения у детей с их последующей криминализацией, и поэтому требует к себе повышенного внимания всех субъектов системы профилактики на территории городского округа город Переславль-Залесский. Для эффективного решения данных проблем необходимо обеспечить эффективное взаимодействие органов и учреждений системы профилактики безнадзорности и правонарушений несовершеннолетних, общественных организаций и других организаций, деятельность которых связана с осуществлением мер по профилактике безнадзорности, правонарушений и защите прав несовершеннолетних. Это может быть достигнуто программным методом, путем реализации комплекса мероприятий. </w:t>
      </w:r>
    </w:p>
    <w:p w:rsidR="000F1FE6" w:rsidRPr="00903C0E" w:rsidRDefault="000F1FE6" w:rsidP="00903C0E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46722" w:rsidRPr="00903C0E" w:rsidRDefault="00B703CC" w:rsidP="00B703CC">
      <w:pPr>
        <w:pStyle w:val="a6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3) в</w:t>
      </w:r>
      <w:r w:rsidR="00492FE9" w:rsidRPr="00903C0E">
        <w:rPr>
          <w:rFonts w:ascii="Times New Roman" w:hAnsi="Times New Roman" w:cs="Times New Roman"/>
          <w:b/>
          <w:sz w:val="26"/>
          <w:szCs w:val="26"/>
        </w:rPr>
        <w:t xml:space="preserve"> сфере противодействия злоупотреблению наркотиками:</w:t>
      </w:r>
      <w:r w:rsidR="00B46722" w:rsidRPr="00903C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1FE6" w:rsidRPr="00903C0E" w:rsidRDefault="000F1FE6" w:rsidP="00B703C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Переславль-Залесский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наркоситуация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 остается достаточно сложной. Основными факторами, оказывающими влияние на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наркоситуацию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>, продолжают оставаться:</w:t>
      </w:r>
    </w:p>
    <w:p w:rsidR="000F1FE6" w:rsidRPr="00903C0E" w:rsidRDefault="00B46722" w:rsidP="00666C7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1. </w:t>
      </w:r>
      <w:r w:rsidR="000F1FE6" w:rsidRPr="00903C0E">
        <w:rPr>
          <w:rFonts w:ascii="Times New Roman" w:hAnsi="Times New Roman" w:cs="Times New Roman"/>
          <w:sz w:val="26"/>
          <w:szCs w:val="26"/>
        </w:rPr>
        <w:t>Географическое расположение городского округа город Переславль-Залесский в непосредственной близости к Москве. Анализ расследованных уголовных дел и поступающая оперативная информация показывают, что основная доля крупных партий «завезённых» наркотических средств поступала в регион из Московской области (93%). Наркотическое средство «героин» и синтетические наркотические средства в большинстве случаев попадали на территорию оперативного обслуживания из Москвы и Подмосковья;</w:t>
      </w:r>
    </w:p>
    <w:p w:rsidR="000F1FE6" w:rsidRPr="00903C0E" w:rsidRDefault="00B46722" w:rsidP="00666C7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0F1FE6" w:rsidRPr="00903C0E">
        <w:rPr>
          <w:rFonts w:ascii="Times New Roman" w:hAnsi="Times New Roman" w:cs="Times New Roman"/>
          <w:sz w:val="26"/>
          <w:szCs w:val="26"/>
        </w:rPr>
        <w:t xml:space="preserve">В 2017 году в среде криминальных элементов сохранилась тенденция сбыта синтетических наркотических </w:t>
      </w:r>
      <w:proofErr w:type="gramStart"/>
      <w:r w:rsidR="000F1FE6" w:rsidRPr="00903C0E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="000F1FE6" w:rsidRPr="00903C0E">
        <w:rPr>
          <w:rFonts w:ascii="Times New Roman" w:hAnsi="Times New Roman" w:cs="Times New Roman"/>
          <w:sz w:val="26"/>
          <w:szCs w:val="26"/>
        </w:rPr>
        <w:t xml:space="preserve"> с использованием автоматизированного интернет-магазина бесконтактным способом посредством «тайниковых» закладок. </w:t>
      </w:r>
    </w:p>
    <w:p w:rsidR="000F1FE6" w:rsidRPr="00903C0E" w:rsidRDefault="000F1FE6" w:rsidP="00666C7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 2018 году на территории городского округа отмечен значительный рост преступлений, связанных с незаконным оборотом наркотиков. На территории городского округа город Переславль-Залесский за 9 месяцев 2018 года по линии незаконного оборота наркотиков зарегистрировано 27 преступлений (за аналогичный период 2017 года – 18 преступлений). Из них тяжких зарегистрировано 24 преступления (за аналогичный период 2017 года – 16). </w:t>
      </w:r>
    </w:p>
    <w:p w:rsidR="000F1FE6" w:rsidRPr="00903C0E" w:rsidRDefault="000F1FE6" w:rsidP="00666C7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Привлечено лиц к уголовной ответственности, причастных к незаконному обороту наркотиков – 5 (за аналогичный период 2017 года – 9). Совершено преступлений лицами, находящимися в состоянии наркотического опьянения – 6 (за аналогичный период 2017 года – 5). </w:t>
      </w:r>
    </w:p>
    <w:p w:rsidR="000F1FE6" w:rsidRPr="00903C0E" w:rsidRDefault="000F1FE6" w:rsidP="00666C7A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По состоянию на 1 января 2018 года в городском округе город</w:t>
      </w:r>
      <w:r w:rsidR="00CB6E8C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  <w:r w:rsidRPr="00903C0E">
        <w:rPr>
          <w:rFonts w:ascii="Times New Roman" w:hAnsi="Times New Roman" w:cs="Times New Roman"/>
          <w:sz w:val="26"/>
          <w:szCs w:val="26"/>
        </w:rPr>
        <w:t xml:space="preserve"> проживает 58725 человек, в том числе молодёжь в возрасте от 14 до 30 лет – 10917 человек. Потребителями наркотиков, согласно статистическим данным, в основном являются люди до 30 лет, в большинстве случаев не имеющие постоянного источника дохода, ранее судимые за имущественные преступления и преступления в сфере незаконного оборота подконтрольных веществ. 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C0E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2016 года в государственном бюджетном учреждении здравоохранения Ярославской области «Переславская центральная районная больница» с диагнозом «наркомания» состояло 38 человек.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2017 года состояло 44 человека. По итогам 1 полугодия 2018 года состоит 43 человека. В период с 2016 года до конца первого полугодия 2018 года несовершеннолетних с диагнозом «наркомания» на учете у врача-нарколога не состояло.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 целях пропаганды здорового образа жизни, формирования активной жизненной позиции населения городского округа, привлечения внимания общественности к проблеме асоциальных явлений ежегодно проводится акция «Я выбираю жизнь!».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 xml:space="preserve">В целях предупреждения распространения наркомании среди молодежи,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, на территории городского округа ежегодно проводятся акции «Переславль против наркотиков», «Наша жизнь – в наших руках», «Сообщи, где торгуют смертью», «За здоровье и безопасность наших детей».      </w:t>
      </w:r>
      <w:proofErr w:type="gramEnd"/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Во всех общеобразовательных учреждениях реализуются комплексные программы по профилактике злоупотребления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психоактивными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 веществами, оформлены уголки профилактики со сменным тематическим материалом. Все общеобразовательные учреждения систематически пополняют методические, аудио и видеоматериалы. 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 четырех образовательных учреждениях функционируют спортивные залы, работающие в вечернее время и выходные дни. Финансирование осуществляется за счет средств областной целевой программы «Комплексные меры противодействия злоупотреблению наркотиками и их незаконному обороту» на 2016-2018 годы. 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 течение учебного года на базе общеобразовательных учреждений функционировали группы учреждений дополнительного образования: лыжи, баскетбол, волейбол, легкая атлетика, общефизическая подготовка, ритмическая </w:t>
      </w:r>
      <w:r w:rsidRPr="00903C0E">
        <w:rPr>
          <w:rFonts w:ascii="Times New Roman" w:hAnsi="Times New Roman" w:cs="Times New Roman"/>
          <w:sz w:val="26"/>
          <w:szCs w:val="26"/>
        </w:rPr>
        <w:lastRenderedPageBreak/>
        <w:t xml:space="preserve">гимнастика и др. Школьные помещения предоставлялись для проведения занятий музыкальной, технической, спортивной и художественной направленности. По данным управления </w:t>
      </w:r>
      <w:r w:rsidR="00CB6E8C">
        <w:rPr>
          <w:rFonts w:ascii="Times New Roman" w:hAnsi="Times New Roman" w:cs="Times New Roman"/>
          <w:sz w:val="26"/>
          <w:szCs w:val="26"/>
        </w:rPr>
        <w:t xml:space="preserve">образования Администрации </w:t>
      </w:r>
      <w:proofErr w:type="gramStart"/>
      <w:r w:rsidR="00CB6E8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B6E8C">
        <w:rPr>
          <w:rFonts w:ascii="Times New Roman" w:hAnsi="Times New Roman" w:cs="Times New Roman"/>
          <w:sz w:val="26"/>
          <w:szCs w:val="26"/>
        </w:rPr>
        <w:t>.</w:t>
      </w:r>
      <w:r w:rsidRPr="00903C0E">
        <w:rPr>
          <w:rFonts w:ascii="Times New Roman" w:hAnsi="Times New Roman" w:cs="Times New Roman"/>
          <w:sz w:val="26"/>
          <w:szCs w:val="26"/>
        </w:rPr>
        <w:t xml:space="preserve"> Переславля-Залесского на 1 января 2018 года из 5032 детей от 5 до 18 лет дополнительным образованием охвачено 75,6 % обучающихся.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C0E">
        <w:rPr>
          <w:rFonts w:ascii="Times New Roman" w:hAnsi="Times New Roman" w:cs="Times New Roman"/>
          <w:sz w:val="26"/>
          <w:szCs w:val="26"/>
        </w:rPr>
        <w:t xml:space="preserve">Благодаря эффективной работе правоохранительных органов по выявлению и пресечению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наркопреступности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, изъятию из незаконного оборота значительных объемов подконтрольных веществ, комплексному подходу и реализации антинаркотической профилактики  в сфере образования, здравоохранения, культуры, молодёжной политики на основе скоординированных действий в рамках реализации региональной и муниципальной антинаркотических программ на территории городского округа удалось сохранить стабильной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наркоситуацию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Стабильность была обеспечена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даже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несмотря на упразднение Управления Федеральной службы по контролю за оборотом наркотиков, сотрудники которого длительное время были лишены правовых оснований для реализации имеющейся оперативной информации, проведения оперативно-розыскных мероприятий, ограничены в возможностях использования сил и средств для выявления и раскрытия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наркопреступлений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 (период упразднения, переход в систему Министерства внутренних дел России; период создания подразделений по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оборотом наркотиков).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 создана и работает антинаркотическая комиссия. Заседания комиссии проводятся ежеквартально, на них рассматриваются вопросы состояния наркотической ситуа</w:t>
      </w:r>
      <w:r w:rsidR="00CB6E8C">
        <w:rPr>
          <w:rFonts w:ascii="Times New Roman" w:hAnsi="Times New Roman" w:cs="Times New Roman"/>
          <w:sz w:val="26"/>
          <w:szCs w:val="26"/>
        </w:rPr>
        <w:t>ции в городском округе</w:t>
      </w:r>
      <w:r w:rsidRPr="00903C0E">
        <w:rPr>
          <w:rFonts w:ascii="Times New Roman" w:hAnsi="Times New Roman" w:cs="Times New Roman"/>
          <w:sz w:val="26"/>
          <w:szCs w:val="26"/>
        </w:rPr>
        <w:t>, организация и проведение профилактической работы межведомственного характера.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Со стороны межмуниципального отдела Министерства внутренних дел России «Переславль-Залесский» осуществляется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3C0E">
        <w:rPr>
          <w:rFonts w:ascii="Times New Roman" w:hAnsi="Times New Roman" w:cs="Times New Roman"/>
          <w:sz w:val="26"/>
          <w:szCs w:val="26"/>
        </w:rPr>
        <w:t xml:space="preserve"> работой аптек, лечебных учреждений городского округа. В аптеках психотропные препараты отпускаются строго по рецепту лечащего врача, выписка лекарств осуществляется врачом с регистрацией в амбулаторной карте.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Важным звеном в вопросах профилактики является работа со средствами массовой информации, где отражается оперативная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наркоситуация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, методы и формы работы с подростками, молодежью, населением городского округа, система взаимодействия профилактических ведомств, пропаганда здорового образа жизни. 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Решение проблемы наркотизации населения позволит улучшить многие социальные показатели жизни горожан, включая улучшение демографической ситуации, повышение уровня здоровья и качества жизни населения, обеспечение его занятости, снижение уровня преступности и социальной напряженности в обществе.  </w:t>
      </w:r>
    </w:p>
    <w:p w:rsidR="001D36A5" w:rsidRDefault="001D36A5" w:rsidP="00B04CB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1FE6" w:rsidRPr="00903C0E" w:rsidRDefault="00CB6E8C" w:rsidP="00B04CB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4) в</w:t>
      </w:r>
      <w:r w:rsidR="000F1FE6" w:rsidRPr="00903C0E">
        <w:rPr>
          <w:rFonts w:ascii="Times New Roman" w:hAnsi="Times New Roman" w:cs="Times New Roman"/>
          <w:b/>
          <w:sz w:val="26"/>
          <w:szCs w:val="26"/>
        </w:rPr>
        <w:t xml:space="preserve"> сфере гармонизации межнациональных отношений:</w:t>
      </w:r>
    </w:p>
    <w:p w:rsidR="000F1FE6" w:rsidRPr="00903C0E" w:rsidRDefault="000F1FE6" w:rsidP="00CB6E8C">
      <w:pPr>
        <w:pStyle w:val="a6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Ситуация в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этнонационально</w:t>
      </w:r>
      <w:r w:rsidR="00B04CB0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B04CB0">
        <w:rPr>
          <w:rFonts w:ascii="Times New Roman" w:hAnsi="Times New Roman" w:cs="Times New Roman"/>
          <w:sz w:val="26"/>
          <w:szCs w:val="26"/>
        </w:rPr>
        <w:t xml:space="preserve"> сфере городского округа город Переславль-Залесский</w:t>
      </w:r>
      <w:r w:rsidRPr="00903C0E">
        <w:rPr>
          <w:rFonts w:ascii="Times New Roman" w:hAnsi="Times New Roman" w:cs="Times New Roman"/>
          <w:sz w:val="26"/>
          <w:szCs w:val="26"/>
        </w:rPr>
        <w:t xml:space="preserve"> характеризуется как устойчивая. Вместе с тем этническое разнообразие населения городского окр</w:t>
      </w:r>
      <w:r w:rsidR="00B04CB0">
        <w:rPr>
          <w:rFonts w:ascii="Times New Roman" w:hAnsi="Times New Roman" w:cs="Times New Roman"/>
          <w:sz w:val="26"/>
          <w:szCs w:val="26"/>
        </w:rPr>
        <w:t>уга</w:t>
      </w:r>
      <w:r w:rsidRPr="00903C0E">
        <w:rPr>
          <w:rFonts w:ascii="Times New Roman" w:hAnsi="Times New Roman" w:cs="Times New Roman"/>
          <w:sz w:val="26"/>
          <w:szCs w:val="26"/>
        </w:rPr>
        <w:t xml:space="preserve"> требует разработки и дальнейшей реализации мер по гармонизации межнациональных отношений на территории. 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</w:t>
      </w:r>
      <w:r w:rsidR="00B04CB0">
        <w:rPr>
          <w:rFonts w:ascii="Times New Roman" w:hAnsi="Times New Roman" w:cs="Times New Roman"/>
          <w:sz w:val="26"/>
          <w:szCs w:val="26"/>
        </w:rPr>
        <w:t>русского населения (96%</w:t>
      </w:r>
      <w:r w:rsidRPr="00903C0E">
        <w:rPr>
          <w:rFonts w:ascii="Times New Roman" w:hAnsi="Times New Roman" w:cs="Times New Roman"/>
          <w:sz w:val="26"/>
          <w:szCs w:val="26"/>
        </w:rPr>
        <w:t>), которое в целом определяет этническую ситуацию.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C0E">
        <w:rPr>
          <w:rFonts w:ascii="Times New Roman" w:hAnsi="Times New Roman" w:cs="Times New Roman"/>
          <w:sz w:val="26"/>
          <w:szCs w:val="26"/>
        </w:rPr>
        <w:lastRenderedPageBreak/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белорусы, узбеки, таджики, грузины. </w:t>
      </w:r>
      <w:proofErr w:type="gramEnd"/>
    </w:p>
    <w:p w:rsidR="000F1FE6" w:rsidRPr="00903C0E" w:rsidRDefault="00B04CB0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городском округе город Переславль-Залесский</w:t>
      </w:r>
      <w:r w:rsidR="000F1FE6" w:rsidRPr="00903C0E">
        <w:rPr>
          <w:rFonts w:ascii="Times New Roman" w:hAnsi="Times New Roman" w:cs="Times New Roman"/>
          <w:sz w:val="26"/>
          <w:szCs w:val="26"/>
        </w:rPr>
        <w:t xml:space="preserve"> проживает более 30 национальностей, большую часть которых составляе</w:t>
      </w:r>
      <w:r>
        <w:rPr>
          <w:rFonts w:ascii="Times New Roman" w:hAnsi="Times New Roman" w:cs="Times New Roman"/>
          <w:sz w:val="26"/>
          <w:szCs w:val="26"/>
        </w:rPr>
        <w:t>т русское население (94%</w:t>
      </w:r>
      <w:r w:rsidR="000F1FE6" w:rsidRPr="00903C0E">
        <w:rPr>
          <w:rFonts w:ascii="Times New Roman" w:hAnsi="Times New Roman" w:cs="Times New Roman"/>
          <w:sz w:val="26"/>
          <w:szCs w:val="26"/>
        </w:rPr>
        <w:t>), а также проживают армяне, украинцы, татары, азербайджанцы, белорусы, узбеки.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3C0E">
        <w:rPr>
          <w:rFonts w:ascii="Times New Roman" w:eastAsia="Calibri" w:hAnsi="Times New Roman" w:cs="Times New Roman"/>
          <w:sz w:val="26"/>
          <w:szCs w:val="26"/>
        </w:rPr>
        <w:t xml:space="preserve">В связи с ростом некоренного населения в регионе 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обозначилась тенденция формирования компактного проживания этнических групп. На территории </w:t>
      </w:r>
      <w:r w:rsidR="00B04CB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сформировались 3 национальные общественные объединения: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 </w:t>
      </w:r>
      <w:proofErr w:type="spellStart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Переславское</w:t>
      </w:r>
      <w:proofErr w:type="spellEnd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отделение Ярославской областной общественной организации «Армянское общество «</w:t>
      </w:r>
      <w:proofErr w:type="spellStart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Наири</w:t>
      </w:r>
      <w:proofErr w:type="spellEnd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»;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Переславское</w:t>
      </w:r>
      <w:proofErr w:type="spellEnd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отделение Ярославской региональной Азербайджанской национально-культурной автономии (ЯРАНКА);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 </w:t>
      </w:r>
      <w:proofErr w:type="spellStart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Переславское</w:t>
      </w:r>
      <w:proofErr w:type="spellEnd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отделение Ярославской областной общественной организации «Таджикский национальный культурный Центр «</w:t>
      </w:r>
      <w:proofErr w:type="spellStart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Саманиды</w:t>
      </w:r>
      <w:proofErr w:type="spellEnd"/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».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отношении конфессионального состава населения можно отметить, что подавляющее большинство верующих </w:t>
      </w:r>
      <w:r w:rsidR="00950F14" w:rsidRPr="00903C0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придерживаются православия. В начал</w:t>
      </w:r>
      <w:r w:rsidR="00B04CB0">
        <w:rPr>
          <w:rFonts w:ascii="Times New Roman" w:eastAsia="Calibri" w:hAnsi="Times New Roman" w:cs="Times New Roman"/>
          <w:color w:val="000000"/>
          <w:sz w:val="26"/>
          <w:szCs w:val="26"/>
        </w:rPr>
        <w:t>е 2016 года на территории городского округа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начала вести свою деятельность религиозная организация «Переславская Епархия Русской Православной Церкви».  Наряду с этим в июле 2016 г.  в </w:t>
      </w:r>
      <w:r w:rsidR="00950F14" w:rsidRPr="00903C0E">
        <w:rPr>
          <w:rFonts w:ascii="Times New Roman" w:hAnsi="Times New Roman" w:cs="Times New Roman"/>
          <w:sz w:val="26"/>
          <w:szCs w:val="26"/>
        </w:rPr>
        <w:t>городском округе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</w:t>
      </w:r>
      <w:r w:rsidR="00B04CB0">
        <w:rPr>
          <w:rFonts w:ascii="Times New Roman" w:eastAsia="Calibri" w:hAnsi="Times New Roman" w:cs="Times New Roman"/>
          <w:color w:val="000000"/>
          <w:sz w:val="26"/>
          <w:szCs w:val="26"/>
        </w:rPr>
        <w:t>ород Переславль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>-Залес</w:t>
      </w:r>
      <w:r w:rsidR="00B04CB0">
        <w:rPr>
          <w:rFonts w:ascii="Times New Roman" w:eastAsia="Calibri" w:hAnsi="Times New Roman" w:cs="Times New Roman"/>
          <w:color w:val="000000"/>
          <w:sz w:val="26"/>
          <w:szCs w:val="26"/>
        </w:rPr>
        <w:t>ский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появляется местная религиозная организация мусульман</w:t>
      </w:r>
      <w:r w:rsidR="00B04CB0">
        <w:rPr>
          <w:rFonts w:ascii="Times New Roman" w:eastAsia="Calibri" w:hAnsi="Times New Roman" w:cs="Times New Roman"/>
          <w:color w:val="000000"/>
          <w:sz w:val="26"/>
          <w:szCs w:val="26"/>
        </w:rPr>
        <w:t>. Конфессиональный состав городского округа</w:t>
      </w:r>
      <w:r w:rsidRPr="00903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меняется, становится все более не однородным.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bCs/>
          <w:sz w:val="26"/>
          <w:szCs w:val="26"/>
        </w:rPr>
        <w:t xml:space="preserve">Наибольшее количество иностранных граждан прибывает в </w:t>
      </w:r>
      <w:r w:rsidR="00B04CB0">
        <w:rPr>
          <w:rFonts w:ascii="Times New Roman" w:hAnsi="Times New Roman" w:cs="Times New Roman"/>
          <w:sz w:val="26"/>
          <w:szCs w:val="26"/>
        </w:rPr>
        <w:t xml:space="preserve">городской округ </w:t>
      </w:r>
      <w:r w:rsidR="00B04CB0" w:rsidRPr="00903C0E">
        <w:rPr>
          <w:rFonts w:ascii="Times New Roman" w:hAnsi="Times New Roman" w:cs="Times New Roman"/>
          <w:bCs/>
          <w:sz w:val="26"/>
          <w:szCs w:val="26"/>
        </w:rPr>
        <w:t>по</w:t>
      </w:r>
      <w:r w:rsidRPr="00903C0E">
        <w:rPr>
          <w:rFonts w:ascii="Times New Roman" w:hAnsi="Times New Roman" w:cs="Times New Roman"/>
          <w:bCs/>
          <w:sz w:val="26"/>
          <w:szCs w:val="26"/>
        </w:rPr>
        <w:t xml:space="preserve"> частным делам, </w:t>
      </w:r>
      <w:r w:rsidRPr="00903C0E">
        <w:rPr>
          <w:rFonts w:ascii="Times New Roman" w:hAnsi="Times New Roman" w:cs="Times New Roman"/>
          <w:sz w:val="26"/>
          <w:szCs w:val="26"/>
        </w:rPr>
        <w:t xml:space="preserve">для осуществления трудовой деятельности и вследствие возникновения чрезвычайных ситуаций на территории их проживания. Указанные цели въезда преобладают на протяжении нескольких последних лет. 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Растущие иммиграционные потоки прибывающих в </w:t>
      </w:r>
      <w:r w:rsidR="00950F14" w:rsidRPr="00903C0E">
        <w:rPr>
          <w:rFonts w:ascii="Times New Roman" w:hAnsi="Times New Roman" w:cs="Times New Roman"/>
          <w:sz w:val="26"/>
          <w:szCs w:val="26"/>
        </w:rPr>
        <w:t xml:space="preserve">городской округ </w:t>
      </w:r>
      <w:r w:rsidRPr="00903C0E">
        <w:rPr>
          <w:rFonts w:ascii="Times New Roman" w:hAnsi="Times New Roman" w:cs="Times New Roman"/>
          <w:sz w:val="26"/>
          <w:szCs w:val="26"/>
        </w:rPr>
        <w:t>город Переславль-Залесский граждан из бывших республик СНГ объясняются тем, что уже в течение многих лет город</w:t>
      </w:r>
      <w:r w:rsidR="00B04CB0">
        <w:rPr>
          <w:rFonts w:ascii="Times New Roman" w:hAnsi="Times New Roman" w:cs="Times New Roman"/>
          <w:sz w:val="26"/>
          <w:szCs w:val="26"/>
        </w:rPr>
        <w:t>ской округ</w:t>
      </w:r>
      <w:r w:rsidRPr="00903C0E">
        <w:rPr>
          <w:rFonts w:ascii="Times New Roman" w:hAnsi="Times New Roman" w:cs="Times New Roman"/>
          <w:sz w:val="26"/>
          <w:szCs w:val="26"/>
        </w:rPr>
        <w:t xml:space="preserve"> сохраняет социально-экономическую привлекательность для иностранных мигрантов, в том числе трудовых. Большую роль играет близость к городу федерального значения – Москве и существенно влияет то, что</w:t>
      </w:r>
      <w:r w:rsidR="00950F14" w:rsidRPr="00903C0E">
        <w:rPr>
          <w:rFonts w:ascii="Times New Roman" w:hAnsi="Times New Roman" w:cs="Times New Roman"/>
          <w:sz w:val="26"/>
          <w:szCs w:val="26"/>
        </w:rPr>
        <w:t xml:space="preserve"> городской округ</w:t>
      </w:r>
      <w:r w:rsidRPr="00903C0E">
        <w:rPr>
          <w:rFonts w:ascii="Times New Roman" w:hAnsi="Times New Roman" w:cs="Times New Roman"/>
          <w:sz w:val="26"/>
          <w:szCs w:val="26"/>
        </w:rPr>
        <w:t xml:space="preserve"> город Переславль-Залесский не принадлежит к числу регионов, где национальный вопрос стоит наиболее остро.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Процесс миграции неуклонно приводит к качественно новым этническим и демографическим изменениям в структуре населения </w:t>
      </w:r>
      <w:r w:rsidR="00950F14" w:rsidRPr="00903C0E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903C0E">
        <w:rPr>
          <w:rFonts w:ascii="Times New Roman" w:hAnsi="Times New Roman" w:cs="Times New Roman"/>
          <w:sz w:val="26"/>
          <w:szCs w:val="26"/>
        </w:rPr>
        <w:t xml:space="preserve">, и, как следствие, к изменению её национально-культурного состава.  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3C0E">
        <w:rPr>
          <w:rFonts w:ascii="Times New Roman" w:eastAsia="Calibri" w:hAnsi="Times New Roman" w:cs="Times New Roman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>Очевидно, что данные процессы и явления активно влияют и будут в дальнейшем активно вл</w:t>
      </w:r>
      <w:r w:rsidR="00B04CB0">
        <w:rPr>
          <w:rFonts w:ascii="Times New Roman" w:hAnsi="Times New Roman" w:cs="Times New Roman"/>
          <w:sz w:val="26"/>
          <w:szCs w:val="26"/>
        </w:rPr>
        <w:t>иять на все стороны жизни городского округа</w:t>
      </w:r>
      <w:r w:rsidRPr="00903C0E">
        <w:rPr>
          <w:rFonts w:ascii="Times New Roman" w:hAnsi="Times New Roman" w:cs="Times New Roman"/>
          <w:sz w:val="26"/>
          <w:szCs w:val="26"/>
        </w:rPr>
        <w:t>, что уже сегодня находит свое негативное отражение в состоянии межнациональны</w:t>
      </w:r>
      <w:r w:rsidR="00B04CB0">
        <w:rPr>
          <w:rFonts w:ascii="Times New Roman" w:hAnsi="Times New Roman" w:cs="Times New Roman"/>
          <w:sz w:val="26"/>
          <w:szCs w:val="26"/>
        </w:rPr>
        <w:t>х отношений на его территории</w:t>
      </w:r>
      <w:r w:rsidRPr="00903C0E">
        <w:rPr>
          <w:rFonts w:ascii="Times New Roman" w:hAnsi="Times New Roman" w:cs="Times New Roman"/>
          <w:sz w:val="26"/>
          <w:szCs w:val="26"/>
        </w:rPr>
        <w:t>.</w:t>
      </w:r>
    </w:p>
    <w:p w:rsidR="000F1FE6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Государственная национальная политика в </w:t>
      </w:r>
      <w:r w:rsidR="00950F14" w:rsidRPr="00903C0E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="00B04CB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Pr="00903C0E">
        <w:rPr>
          <w:rFonts w:ascii="Times New Roman" w:hAnsi="Times New Roman" w:cs="Times New Roman"/>
          <w:sz w:val="26"/>
          <w:szCs w:val="26"/>
        </w:rPr>
        <w:t xml:space="preserve"> реализуется на основе принципов Конституции Российской Федерации, общепризнанных норм международного права и осуществляется в </w:t>
      </w:r>
      <w:r w:rsidRPr="00903C0E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492FE9" w:rsidRPr="00903C0E" w:rsidRDefault="000F1FE6" w:rsidP="00B04CB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C0E">
        <w:rPr>
          <w:rFonts w:ascii="Times New Roman" w:hAnsi="Times New Roman" w:cs="Times New Roman"/>
          <w:sz w:val="26"/>
          <w:szCs w:val="26"/>
        </w:rPr>
        <w:t xml:space="preserve">В сложившихся современных условиях лишь с помощью программно-целевого подхода возможны решение проблемы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интолерантных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03C0E">
        <w:rPr>
          <w:rFonts w:ascii="Times New Roman" w:hAnsi="Times New Roman" w:cs="Times New Roman"/>
          <w:sz w:val="26"/>
          <w:szCs w:val="26"/>
        </w:rPr>
        <w:t>ксенофобных</w:t>
      </w:r>
      <w:proofErr w:type="spellEnd"/>
      <w:r w:rsidRPr="00903C0E">
        <w:rPr>
          <w:rFonts w:ascii="Times New Roman" w:hAnsi="Times New Roman" w:cs="Times New Roman"/>
          <w:sz w:val="26"/>
          <w:szCs w:val="26"/>
        </w:rPr>
        <w:t xml:space="preserve">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</w:t>
      </w:r>
      <w:r w:rsidR="00B04CB0">
        <w:rPr>
          <w:rFonts w:ascii="Times New Roman" w:hAnsi="Times New Roman" w:cs="Times New Roman"/>
          <w:sz w:val="26"/>
          <w:szCs w:val="26"/>
        </w:rPr>
        <w:t xml:space="preserve">страции </w:t>
      </w:r>
      <w:proofErr w:type="gramStart"/>
      <w:r w:rsidRPr="00903C0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04CB0">
        <w:rPr>
          <w:rFonts w:ascii="Times New Roman" w:hAnsi="Times New Roman" w:cs="Times New Roman"/>
          <w:sz w:val="26"/>
          <w:szCs w:val="26"/>
        </w:rPr>
        <w:t>.</w:t>
      </w:r>
      <w:r w:rsidRPr="00903C0E">
        <w:rPr>
          <w:rFonts w:ascii="Times New Roman" w:hAnsi="Times New Roman" w:cs="Times New Roman"/>
          <w:sz w:val="26"/>
          <w:szCs w:val="26"/>
        </w:rPr>
        <w:t xml:space="preserve">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</w:t>
      </w:r>
      <w:r w:rsidR="00950F14" w:rsidRPr="00903C0E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="00CA683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Pr="00903C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3524" w:rsidRPr="00F63BE4" w:rsidRDefault="00063524" w:rsidP="00F63B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26ECC" w:rsidRDefault="00F26ECC" w:rsidP="00F26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6ECC">
        <w:rPr>
          <w:rFonts w:ascii="Times New Roman" w:eastAsia="Calibri" w:hAnsi="Times New Roman" w:cs="Times New Roman"/>
          <w:b/>
          <w:sz w:val="26"/>
          <w:szCs w:val="26"/>
        </w:rPr>
        <w:t>III. Цели и целевые показатели муниципальной программы</w:t>
      </w:r>
    </w:p>
    <w:p w:rsidR="00F26ECC" w:rsidRDefault="00F26ECC" w:rsidP="00F26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6ECC">
        <w:rPr>
          <w:rFonts w:ascii="Times New Roman" w:eastAsia="Calibri" w:hAnsi="Times New Roman" w:cs="Times New Roman"/>
          <w:sz w:val="26"/>
          <w:szCs w:val="26"/>
        </w:rPr>
        <w:t>Цели муниципальной программы:</w:t>
      </w:r>
    </w:p>
    <w:p w:rsidR="00F26ECC" w:rsidRPr="00F26ECC" w:rsidRDefault="00F26ECC" w:rsidP="00F26EC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CC">
        <w:rPr>
          <w:rFonts w:ascii="Times New Roman" w:hAnsi="Times New Roman" w:cs="Times New Roman"/>
          <w:sz w:val="26"/>
          <w:szCs w:val="26"/>
        </w:rPr>
        <w:t>- создание мотивации и условий жителям городского округа город Переславль-Залесский для ведения здорового образа жизни;</w:t>
      </w:r>
    </w:p>
    <w:p w:rsidR="00F26ECC" w:rsidRPr="00F26ECC" w:rsidRDefault="00F26ECC" w:rsidP="00F26EC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CC">
        <w:rPr>
          <w:rFonts w:ascii="Times New Roman" w:hAnsi="Times New Roman" w:cs="Times New Roman"/>
          <w:sz w:val="26"/>
          <w:szCs w:val="26"/>
        </w:rPr>
        <w:t>- развитие правовой культуры населения;</w:t>
      </w:r>
    </w:p>
    <w:p w:rsidR="00F26ECC" w:rsidRPr="00F26ECC" w:rsidRDefault="00F26ECC" w:rsidP="00F26EC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CC">
        <w:rPr>
          <w:rFonts w:ascii="Times New Roman" w:hAnsi="Times New Roman" w:cs="Times New Roman"/>
          <w:sz w:val="26"/>
          <w:szCs w:val="26"/>
        </w:rPr>
        <w:t>- развитие и реализация потенциала молодежи в интересах городского округа;</w:t>
      </w:r>
    </w:p>
    <w:p w:rsidR="00F26ECC" w:rsidRPr="00F26ECC" w:rsidRDefault="00F26ECC" w:rsidP="00F26EC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ECC">
        <w:rPr>
          <w:rFonts w:ascii="Times New Roman" w:hAnsi="Times New Roman" w:cs="Times New Roman"/>
          <w:sz w:val="26"/>
          <w:szCs w:val="26"/>
        </w:rPr>
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</w:r>
    </w:p>
    <w:p w:rsidR="00F26ECC" w:rsidRDefault="00F26ECC" w:rsidP="00F26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6ECC">
        <w:rPr>
          <w:rFonts w:ascii="Times New Roman" w:hAnsi="Times New Roman" w:cs="Times New Roman"/>
          <w:sz w:val="26"/>
          <w:szCs w:val="26"/>
        </w:rPr>
        <w:t>- превращение городского округа город Переславль-Залесский в культурный центр «Золотого кольца России».</w:t>
      </w:r>
    </w:p>
    <w:p w:rsidR="00F26ECC" w:rsidRDefault="00F26ECC" w:rsidP="00F26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6ECC" w:rsidRDefault="00F26ECC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C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программы:</w:t>
      </w:r>
    </w:p>
    <w:p w:rsidR="00F26ECC" w:rsidRDefault="00F26ECC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134"/>
        <w:gridCol w:w="1276"/>
        <w:gridCol w:w="1276"/>
        <w:gridCol w:w="1276"/>
      </w:tblGrid>
      <w:tr w:rsidR="00F26ECC" w:rsidRPr="00F26ECC" w:rsidTr="00E65240">
        <w:tc>
          <w:tcPr>
            <w:tcW w:w="3227" w:type="dxa"/>
            <w:vMerge w:val="restart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F26ECC" w:rsidRPr="00F26ECC" w:rsidTr="00E65240">
        <w:tc>
          <w:tcPr>
            <w:tcW w:w="3227" w:type="dxa"/>
            <w:vMerge/>
            <w:shd w:val="clear" w:color="auto" w:fill="auto"/>
          </w:tcPr>
          <w:p w:rsidR="00F26ECC" w:rsidRPr="00F26ECC" w:rsidRDefault="00F26ECC" w:rsidP="00F2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ECC" w:rsidRPr="00F26ECC" w:rsidRDefault="00F26ECC" w:rsidP="00F2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Базовое</w:t>
            </w:r>
            <w:proofErr w:type="gramEnd"/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F26ECC" w:rsidRPr="00F26ECC" w:rsidTr="00E65240">
        <w:tc>
          <w:tcPr>
            <w:tcW w:w="3227" w:type="dxa"/>
            <w:vMerge/>
            <w:shd w:val="clear" w:color="auto" w:fill="auto"/>
          </w:tcPr>
          <w:p w:rsidR="00F26ECC" w:rsidRPr="00F26ECC" w:rsidRDefault="00F26ECC" w:rsidP="00F2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ECC" w:rsidRPr="00F26ECC" w:rsidRDefault="00F26ECC" w:rsidP="00F2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6ECC" w:rsidRPr="00F26ECC" w:rsidRDefault="00F26ECC" w:rsidP="00F2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плановое</w:t>
            </w:r>
          </w:p>
        </w:tc>
      </w:tr>
      <w:tr w:rsidR="00F26ECC" w:rsidRPr="00F26ECC" w:rsidTr="00E65240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6ECC" w:rsidRPr="00F26ECC" w:rsidRDefault="00F26ECC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26ECC" w:rsidRPr="00F26ECC" w:rsidTr="00E65240">
        <w:tc>
          <w:tcPr>
            <w:tcW w:w="9606" w:type="dxa"/>
            <w:gridSpan w:val="6"/>
            <w:shd w:val="clear" w:color="auto" w:fill="auto"/>
            <w:vAlign w:val="center"/>
          </w:tcPr>
          <w:p w:rsidR="00F26ECC" w:rsidRPr="00F26ECC" w:rsidRDefault="009D264F" w:rsidP="00F2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ГЦП</w:t>
            </w:r>
            <w:r w:rsidRPr="009D2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«Борьба с преступностью на территории городского округа город Переславль-Залесский» на 2019-2021 годы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преступлений, совершаемых в общественных местах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64F" w:rsidRPr="00F26ECC" w:rsidTr="00E65240">
        <w:tc>
          <w:tcPr>
            <w:tcW w:w="9606" w:type="dxa"/>
            <w:gridSpan w:val="6"/>
            <w:shd w:val="clear" w:color="auto" w:fill="auto"/>
          </w:tcPr>
          <w:p w:rsidR="009D264F" w:rsidRPr="00F26ECC" w:rsidRDefault="009D264F" w:rsidP="009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ГЦП</w:t>
            </w:r>
            <w:r w:rsidRPr="009D2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</w:tr>
      <w:tr w:rsidR="009D264F" w:rsidRPr="00F26ECC" w:rsidTr="009D264F">
        <w:tc>
          <w:tcPr>
            <w:tcW w:w="3227" w:type="dxa"/>
          </w:tcPr>
          <w:p w:rsidR="009D264F" w:rsidRDefault="009D264F" w:rsidP="009D26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проживающими в городском округе</w:t>
            </w:r>
          </w:p>
          <w:p w:rsidR="00B95312" w:rsidRPr="00142363" w:rsidRDefault="00B95312" w:rsidP="009D26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64F" w:rsidRPr="00F26ECC" w:rsidTr="009D264F">
        <w:tc>
          <w:tcPr>
            <w:tcW w:w="3227" w:type="dxa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правонарушений,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264F" w:rsidRPr="00F26ECC" w:rsidTr="00E65240">
        <w:tc>
          <w:tcPr>
            <w:tcW w:w="9606" w:type="dxa"/>
            <w:gridSpan w:val="6"/>
            <w:shd w:val="clear" w:color="auto" w:fill="auto"/>
          </w:tcPr>
          <w:p w:rsidR="009D264F" w:rsidRPr="00F26ECC" w:rsidRDefault="009D264F" w:rsidP="009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ГЦП</w:t>
            </w:r>
            <w:r w:rsidRPr="009D2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«Комплексные меры противодействия злоупотреблению наркотиками и их незаконному обороту» на 2019-2021 годы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лиц, состоящих на учете у врача-нарколога с диагнозом «наркомания»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264F" w:rsidRPr="00F26ECC" w:rsidTr="009D264F">
        <w:tc>
          <w:tcPr>
            <w:tcW w:w="322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</w:t>
            </w:r>
          </w:p>
        </w:tc>
        <w:tc>
          <w:tcPr>
            <w:tcW w:w="1417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264F" w:rsidRPr="00142363" w:rsidRDefault="009D264F" w:rsidP="009D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64F" w:rsidRPr="00F26ECC" w:rsidTr="00E65240">
        <w:tc>
          <w:tcPr>
            <w:tcW w:w="9606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9D264F" w:rsidRPr="00F26ECC" w:rsidRDefault="009D264F" w:rsidP="009D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ГЦП</w:t>
            </w:r>
            <w:r w:rsidRPr="009D26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«Гармонизация межнациональных отношений в городе Переславле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-Залесском» на 2018 – 2020 годы</w:t>
            </w:r>
          </w:p>
        </w:tc>
      </w:tr>
      <w:tr w:rsidR="00BD337F" w:rsidRPr="00F26ECC" w:rsidTr="00BD337F">
        <w:tc>
          <w:tcPr>
            <w:tcW w:w="3227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укрепление межнационального и межконфессионального единства среди жителей города Переславля-Залесского</w:t>
            </w:r>
          </w:p>
        </w:tc>
        <w:tc>
          <w:tcPr>
            <w:tcW w:w="1417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337F" w:rsidRPr="00F75BD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BD337F" w:rsidRPr="00BD337F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337F" w:rsidRPr="00F26ECC" w:rsidTr="00BD337F">
        <w:tc>
          <w:tcPr>
            <w:tcW w:w="3227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417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337F" w:rsidRPr="00F75BD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337F" w:rsidRPr="00F26ECC" w:rsidTr="00BD337F">
        <w:tc>
          <w:tcPr>
            <w:tcW w:w="3227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социально-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культурную адаптацию мигрантов в городе Переславле-Залесском</w:t>
            </w:r>
          </w:p>
        </w:tc>
        <w:tc>
          <w:tcPr>
            <w:tcW w:w="1417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BD337F" w:rsidRPr="00F75BD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337F" w:rsidRPr="00F26ECC" w:rsidTr="00BD337F">
        <w:tc>
          <w:tcPr>
            <w:tcW w:w="3227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размещенных в средствах массовой информации и на официа</w:t>
            </w:r>
            <w:r w:rsidR="003C6A70">
              <w:rPr>
                <w:rFonts w:ascii="Times New Roman" w:hAnsi="Times New Roman" w:cs="Times New Roman"/>
                <w:sz w:val="24"/>
                <w:szCs w:val="24"/>
              </w:rPr>
              <w:t xml:space="preserve">льном сайте Администрации </w:t>
            </w:r>
            <w:proofErr w:type="gramStart"/>
            <w:r w:rsidR="003C6A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C6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в сети Интернет информационных материалов о многообразии национальных культур и религий на территории города</w:t>
            </w:r>
          </w:p>
        </w:tc>
        <w:tc>
          <w:tcPr>
            <w:tcW w:w="1417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337F" w:rsidRPr="00F75BD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D337F" w:rsidRPr="00F75BD5" w:rsidRDefault="00BD337F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D337F" w:rsidRPr="00F75BD5" w:rsidRDefault="0095246E" w:rsidP="00BD3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492FE9" w:rsidRDefault="00492FE9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A70" w:rsidRPr="00142363" w:rsidRDefault="003C6A70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FE9" w:rsidRPr="00142363" w:rsidRDefault="00492FE9" w:rsidP="00F63BE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C6A70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Sect="00B95312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613F5A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3F5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IV. Ресурсное обеспечение муниципальной программы</w:t>
      </w:r>
    </w:p>
    <w:p w:rsidR="00613F5A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613F5A" w:rsidRPr="00613F5A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613F5A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13F5A" w:rsidRPr="00613F5A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расходов (тыс. руб.),</w:t>
            </w:r>
          </w:p>
          <w:p w:rsidR="00613F5A" w:rsidRPr="00613F5A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613F5A" w:rsidRPr="00613F5A" w:rsidTr="00E65240">
        <w:tc>
          <w:tcPr>
            <w:tcW w:w="7041" w:type="dxa"/>
            <w:vMerge/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613F5A" w:rsidRPr="00613F5A" w:rsidTr="00E65240">
        <w:tc>
          <w:tcPr>
            <w:tcW w:w="7041" w:type="dxa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613F5A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13F5A" w:rsidRPr="00613F5A" w:rsidTr="00E65240">
        <w:trPr>
          <w:trHeight w:val="891"/>
        </w:trPr>
        <w:tc>
          <w:tcPr>
            <w:tcW w:w="7041" w:type="dxa"/>
            <w:vAlign w:val="center"/>
          </w:tcPr>
          <w:p w:rsidR="00613F5A" w:rsidRPr="00613F5A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целевая программа</w:t>
            </w:r>
            <w:r w:rsidRPr="006F63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613F5A" w:rsidRPr="00613F5A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613F5A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726" w:type="dxa"/>
            <w:vAlign w:val="center"/>
          </w:tcPr>
          <w:p w:rsidR="00613F5A" w:rsidRPr="00613F5A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613F5A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6F6346" w:rsidRPr="00613F5A" w:rsidTr="00E65240">
        <w:trPr>
          <w:trHeight w:val="20"/>
        </w:trPr>
        <w:tc>
          <w:tcPr>
            <w:tcW w:w="7041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726" w:type="dxa"/>
            <w:vAlign w:val="center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3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6F6346" w:rsidRPr="00613F5A" w:rsidTr="00E65240">
        <w:tc>
          <w:tcPr>
            <w:tcW w:w="7041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6F6346" w:rsidRPr="00613F5A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613F5A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F6346" w:rsidRPr="00613F5A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613F5A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6346" w:rsidRPr="00613F5A" w:rsidTr="006F6346">
        <w:tc>
          <w:tcPr>
            <w:tcW w:w="7041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123,0</w:t>
            </w:r>
          </w:p>
        </w:tc>
        <w:tc>
          <w:tcPr>
            <w:tcW w:w="1726" w:type="dxa"/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63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100,1</w:t>
            </w:r>
          </w:p>
        </w:tc>
      </w:tr>
      <w:tr w:rsidR="006F6346" w:rsidRPr="00613F5A" w:rsidTr="006F6346">
        <w:tc>
          <w:tcPr>
            <w:tcW w:w="7041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726" w:type="dxa"/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613F5A" w:rsidRDefault="006F6346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6F6346" w:rsidRPr="00613F5A" w:rsidTr="00E65240">
        <w:tc>
          <w:tcPr>
            <w:tcW w:w="7041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613F5A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6346" w:rsidRPr="00613F5A" w:rsidTr="00E65240">
        <w:tc>
          <w:tcPr>
            <w:tcW w:w="7041" w:type="dxa"/>
          </w:tcPr>
          <w:p w:rsidR="006F634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8D6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613F5A" w:rsidRDefault="00F968D6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613F5A" w:rsidRDefault="00F968D6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726" w:type="dxa"/>
            <w:vAlign w:val="center"/>
          </w:tcPr>
          <w:p w:rsidR="006F6346" w:rsidRPr="00613F5A" w:rsidRDefault="00F968D6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613F5A" w:rsidRDefault="00F968D6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17,1</w:t>
            </w:r>
          </w:p>
        </w:tc>
      </w:tr>
      <w:tr w:rsidR="00F968D6" w:rsidRPr="00613F5A" w:rsidTr="00E65240">
        <w:tc>
          <w:tcPr>
            <w:tcW w:w="7041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F968D6" w:rsidRPr="00613F5A" w:rsidRDefault="00F968D6" w:rsidP="00F96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613F5A" w:rsidRDefault="00F968D6" w:rsidP="00F96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D6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726" w:type="dxa"/>
            <w:vAlign w:val="center"/>
          </w:tcPr>
          <w:p w:rsidR="00F968D6" w:rsidRPr="00613F5A" w:rsidRDefault="00F968D6" w:rsidP="00F96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D6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613F5A" w:rsidRDefault="00F968D6" w:rsidP="00F96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8D6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F968D6" w:rsidRPr="00613F5A" w:rsidTr="00E65240">
        <w:tc>
          <w:tcPr>
            <w:tcW w:w="7041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68D6" w:rsidRPr="00613F5A" w:rsidTr="0019307C">
        <w:trPr>
          <w:trHeight w:val="858"/>
        </w:trPr>
        <w:tc>
          <w:tcPr>
            <w:tcW w:w="7041" w:type="dxa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целевая программа</w:t>
            </w:r>
            <w:r w:rsidRPr="0019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629" w:type="dxa"/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613F5A" w:rsidRDefault="0019307C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6" w:type="dxa"/>
            <w:vAlign w:val="center"/>
          </w:tcPr>
          <w:p w:rsidR="00F968D6" w:rsidRPr="00613F5A" w:rsidRDefault="0019307C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613F5A" w:rsidRDefault="0019307C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968D6" w:rsidRPr="00613F5A" w:rsidTr="00E65240">
        <w:tc>
          <w:tcPr>
            <w:tcW w:w="7041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613F5A" w:rsidRDefault="0019307C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26" w:type="dxa"/>
            <w:vAlign w:val="center"/>
          </w:tcPr>
          <w:p w:rsidR="00F968D6" w:rsidRPr="00613F5A" w:rsidRDefault="0019307C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613F5A" w:rsidRDefault="0019307C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968D6" w:rsidRPr="00613F5A" w:rsidTr="00E65240">
        <w:tc>
          <w:tcPr>
            <w:tcW w:w="7041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8D6" w:rsidRPr="00613F5A" w:rsidTr="00E65240">
        <w:tc>
          <w:tcPr>
            <w:tcW w:w="7041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726" w:type="dxa"/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250,6</w:t>
            </w:r>
          </w:p>
        </w:tc>
      </w:tr>
      <w:tr w:rsidR="00F968D6" w:rsidRPr="00613F5A" w:rsidTr="00E65240">
        <w:tc>
          <w:tcPr>
            <w:tcW w:w="7041" w:type="dxa"/>
          </w:tcPr>
          <w:p w:rsidR="00F968D6" w:rsidRPr="00613F5A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726" w:type="dxa"/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613F5A" w:rsidRDefault="0019307C" w:rsidP="00F96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250,6</w:t>
            </w:r>
          </w:p>
        </w:tc>
      </w:tr>
    </w:tbl>
    <w:p w:rsidR="003C6A70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40F48" w:rsidRPr="00340F48" w:rsidRDefault="00340F48" w:rsidP="0034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0F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V. Задачи муниципальной программы</w:t>
      </w:r>
    </w:p>
    <w:p w:rsidR="00492FE9" w:rsidRPr="00142363" w:rsidRDefault="00492FE9" w:rsidP="00F63BE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F48" w:rsidRPr="00340F48" w:rsidRDefault="00340F48" w:rsidP="00340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целей муниципальной программы необходимо решить ряд следующих задач: </w:t>
      </w:r>
    </w:p>
    <w:p w:rsidR="00492FE9" w:rsidRPr="00340F48" w:rsidRDefault="00340F48" w:rsidP="00340F4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0F48">
        <w:rPr>
          <w:rFonts w:ascii="Times New Roman" w:hAnsi="Times New Roman" w:cs="Times New Roman"/>
          <w:b/>
          <w:sz w:val="26"/>
          <w:szCs w:val="26"/>
        </w:rPr>
        <w:t>1) в</w:t>
      </w:r>
      <w:r w:rsidR="00492FE9" w:rsidRPr="00340F48">
        <w:rPr>
          <w:rFonts w:ascii="Times New Roman" w:hAnsi="Times New Roman" w:cs="Times New Roman"/>
          <w:b/>
          <w:sz w:val="26"/>
          <w:szCs w:val="26"/>
        </w:rPr>
        <w:t xml:space="preserve"> сфере борьбы с преступностью:</w:t>
      </w:r>
      <w:r w:rsidR="00492FE9" w:rsidRPr="00340F4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56AC1" w:rsidRPr="00340F48" w:rsidRDefault="00956AC1" w:rsidP="00340F4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Переславль-Залесский;</w:t>
      </w:r>
    </w:p>
    <w:p w:rsidR="00956AC1" w:rsidRPr="00340F48" w:rsidRDefault="00956AC1" w:rsidP="00340F4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956AC1" w:rsidRPr="00340F48" w:rsidRDefault="00956AC1" w:rsidP="00340F4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</w:t>
      </w:r>
      <w:r w:rsidR="00340F48">
        <w:rPr>
          <w:rFonts w:ascii="Times New Roman" w:hAnsi="Times New Roman" w:cs="Times New Roman"/>
          <w:sz w:val="26"/>
          <w:szCs w:val="26"/>
        </w:rPr>
        <w:t>ь</w:t>
      </w:r>
      <w:r w:rsidRPr="00340F48">
        <w:rPr>
          <w:rFonts w:ascii="Times New Roman" w:hAnsi="Times New Roman" w:cs="Times New Roman"/>
          <w:sz w:val="26"/>
          <w:szCs w:val="26"/>
        </w:rPr>
        <w:t>-Залесск</w:t>
      </w:r>
      <w:r w:rsidR="00340F48">
        <w:rPr>
          <w:rFonts w:ascii="Times New Roman" w:hAnsi="Times New Roman" w:cs="Times New Roman"/>
          <w:sz w:val="26"/>
          <w:szCs w:val="26"/>
        </w:rPr>
        <w:t>ий</w:t>
      </w:r>
      <w:r w:rsidRPr="00340F48">
        <w:rPr>
          <w:rFonts w:ascii="Times New Roman" w:hAnsi="Times New Roman" w:cs="Times New Roman"/>
          <w:sz w:val="26"/>
          <w:szCs w:val="26"/>
        </w:rPr>
        <w:t xml:space="preserve"> для неотвратимости наступления ответственности за совершенные преступления и правонарушения;</w:t>
      </w:r>
    </w:p>
    <w:p w:rsidR="00956AC1" w:rsidRPr="00340F48" w:rsidRDefault="00956AC1" w:rsidP="00340F4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противодействие терроризму, проявлениям политического, этнического и религиозного экстремизма.</w:t>
      </w:r>
    </w:p>
    <w:p w:rsidR="00340F48" w:rsidRDefault="00340F48" w:rsidP="00340F48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40F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2) в сфере профилактики безнадзорности, правонарушений и защиты прав несовершеннолетних:</w:t>
      </w:r>
    </w:p>
    <w:p w:rsidR="00956AC1" w:rsidRPr="00340F48" w:rsidRDefault="00956AC1" w:rsidP="00340F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методическое и информационное обеспечение </w:t>
      </w:r>
      <w:proofErr w:type="gramStart"/>
      <w:r w:rsidRPr="00340F48">
        <w:rPr>
          <w:rFonts w:ascii="Times New Roman" w:hAnsi="Times New Roman" w:cs="Times New Roman"/>
          <w:sz w:val="26"/>
          <w:szCs w:val="26"/>
        </w:rPr>
        <w:t>деятельности органов системы профилактики безнадзорности</w:t>
      </w:r>
      <w:proofErr w:type="gramEnd"/>
      <w:r w:rsidRPr="00340F48">
        <w:rPr>
          <w:rFonts w:ascii="Times New Roman" w:hAnsi="Times New Roman" w:cs="Times New Roman"/>
          <w:sz w:val="26"/>
          <w:szCs w:val="26"/>
        </w:rPr>
        <w:t xml:space="preserve"> и правонарушений несовершеннолетних;</w:t>
      </w:r>
    </w:p>
    <w:p w:rsidR="00956AC1" w:rsidRPr="00340F48" w:rsidRDefault="00956AC1" w:rsidP="00364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</w:r>
      <w:proofErr w:type="spellStart"/>
      <w:r w:rsidRPr="00340F48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340F48">
        <w:rPr>
          <w:rFonts w:ascii="Times New Roman" w:hAnsi="Times New Roman" w:cs="Times New Roman"/>
          <w:sz w:val="26"/>
          <w:szCs w:val="26"/>
        </w:rPr>
        <w:t xml:space="preserve"> веществ;</w:t>
      </w:r>
    </w:p>
    <w:p w:rsidR="00956AC1" w:rsidRPr="00340F48" w:rsidRDefault="00956AC1" w:rsidP="00364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неблагополучия;</w:t>
      </w:r>
    </w:p>
    <w:p w:rsidR="00956AC1" w:rsidRPr="00340F48" w:rsidRDefault="00956AC1" w:rsidP="003649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</w:r>
    </w:p>
    <w:p w:rsidR="00BD7654" w:rsidRDefault="00BD7654" w:rsidP="00BD7654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654">
        <w:rPr>
          <w:rFonts w:ascii="Times New Roman" w:hAnsi="Times New Roman" w:cs="Times New Roman"/>
          <w:b/>
          <w:sz w:val="26"/>
          <w:szCs w:val="26"/>
        </w:rPr>
        <w:t xml:space="preserve">3) в сфере противодействия злоупотреблению наркотиками: </w:t>
      </w:r>
    </w:p>
    <w:p w:rsidR="00492FE9" w:rsidRPr="00340F48" w:rsidRDefault="00492FE9" w:rsidP="00BD765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492FE9" w:rsidRPr="00340F48" w:rsidRDefault="00492FE9" w:rsidP="00BD765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повышение антинаркотической ориентации общества, его моральное и физическое оздоровление;</w:t>
      </w:r>
    </w:p>
    <w:p w:rsidR="00956AC1" w:rsidRPr="00340F48" w:rsidRDefault="00492FE9" w:rsidP="00BD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</w:t>
      </w:r>
      <w:r w:rsidR="00956AC1" w:rsidRPr="00340F48">
        <w:rPr>
          <w:rFonts w:ascii="Times New Roman" w:hAnsi="Times New Roman" w:cs="Times New Roman"/>
          <w:sz w:val="26"/>
          <w:szCs w:val="26"/>
        </w:rPr>
        <w:t>.</w:t>
      </w:r>
    </w:p>
    <w:p w:rsidR="00BD7654" w:rsidRDefault="00BD7654" w:rsidP="00BD7654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654">
        <w:rPr>
          <w:rFonts w:ascii="Times New Roman" w:hAnsi="Times New Roman" w:cs="Times New Roman"/>
          <w:b/>
          <w:sz w:val="26"/>
          <w:szCs w:val="26"/>
        </w:rPr>
        <w:t>4) в сфере гармонизации межнациональных отношений:</w:t>
      </w:r>
    </w:p>
    <w:p w:rsidR="00956AC1" w:rsidRPr="00340F48" w:rsidRDefault="00956AC1" w:rsidP="00BD765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</w:t>
      </w:r>
      <w:r w:rsidR="00BD7654">
        <w:rPr>
          <w:rFonts w:ascii="Times New Roman" w:hAnsi="Times New Roman" w:cs="Times New Roman"/>
          <w:sz w:val="26"/>
          <w:szCs w:val="26"/>
        </w:rPr>
        <w:t xml:space="preserve"> </w:t>
      </w:r>
      <w:r w:rsidRPr="00340F48">
        <w:rPr>
          <w:rFonts w:ascii="Times New Roman" w:hAnsi="Times New Roman" w:cs="Times New Roman"/>
          <w:sz w:val="26"/>
          <w:szCs w:val="26"/>
        </w:rPr>
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956AC1" w:rsidRPr="00340F48" w:rsidRDefault="00956AC1" w:rsidP="00BD765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</w:t>
      </w:r>
      <w:r w:rsidR="00BD7654">
        <w:rPr>
          <w:rFonts w:ascii="Times New Roman" w:hAnsi="Times New Roman" w:cs="Times New Roman"/>
          <w:sz w:val="26"/>
          <w:szCs w:val="26"/>
        </w:rPr>
        <w:t xml:space="preserve"> </w:t>
      </w:r>
      <w:r w:rsidRPr="00340F48">
        <w:rPr>
          <w:rFonts w:ascii="Times New Roman" w:hAnsi="Times New Roman" w:cs="Times New Roman"/>
          <w:sz w:val="26"/>
          <w:szCs w:val="26"/>
        </w:rPr>
        <w:t>профилактика межнациональных и межконфессиональных конфликтов;</w:t>
      </w:r>
    </w:p>
    <w:p w:rsidR="00956AC1" w:rsidRPr="00340F48" w:rsidRDefault="00956AC1" w:rsidP="00BD765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</w:t>
      </w:r>
      <w:r w:rsidR="00BD7654">
        <w:rPr>
          <w:rFonts w:ascii="Times New Roman" w:hAnsi="Times New Roman" w:cs="Times New Roman"/>
          <w:sz w:val="26"/>
          <w:szCs w:val="26"/>
        </w:rPr>
        <w:t xml:space="preserve"> </w:t>
      </w:r>
      <w:r w:rsidRPr="00340F48">
        <w:rPr>
          <w:rFonts w:ascii="Times New Roman" w:hAnsi="Times New Roman" w:cs="Times New Roman"/>
          <w:sz w:val="26"/>
          <w:szCs w:val="26"/>
        </w:rPr>
        <w:t>информирование и просвещение жителей города о существующих национальных обычаях, традициях, культурах и религиях;</w:t>
      </w:r>
    </w:p>
    <w:p w:rsidR="00956AC1" w:rsidRPr="00340F48" w:rsidRDefault="00956AC1" w:rsidP="00BD7654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содействие развитию различных форм общественного участия и контроля.</w:t>
      </w:r>
    </w:p>
    <w:p w:rsidR="00492FE9" w:rsidRPr="00340F48" w:rsidRDefault="00492FE9" w:rsidP="00340F48">
      <w:pPr>
        <w:pStyle w:val="a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7654" w:rsidRPr="00E65240" w:rsidRDefault="00BD7654" w:rsidP="00340F4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7654" w:rsidRPr="00BD7654" w:rsidRDefault="00BD7654" w:rsidP="00BD7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6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VI. Обобщенная характеристика мер правового регулирования в рамках муниципальной программы</w:t>
      </w:r>
    </w:p>
    <w:p w:rsidR="00492FE9" w:rsidRPr="00340F48" w:rsidRDefault="00492FE9" w:rsidP="00340F48">
      <w:pPr>
        <w:pStyle w:val="a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2FE9" w:rsidRPr="00340F48" w:rsidRDefault="00492FE9" w:rsidP="00340F48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0F48">
        <w:rPr>
          <w:rFonts w:ascii="Times New Roman" w:eastAsia="Calibri" w:hAnsi="Times New Roman" w:cs="Times New Roman"/>
          <w:sz w:val="26"/>
          <w:szCs w:val="26"/>
        </w:rPr>
        <w:t>Основными мерами правового регулирования, определяющими вопросы</w:t>
      </w:r>
      <w:r w:rsidRPr="00340F48">
        <w:rPr>
          <w:rFonts w:ascii="Times New Roman" w:hAnsi="Times New Roman" w:cs="Times New Roman"/>
          <w:sz w:val="26"/>
          <w:szCs w:val="26"/>
        </w:rPr>
        <w:t xml:space="preserve"> обеспечения общественного порядка и противодействие преступности на территории </w:t>
      </w:r>
      <w:r w:rsidR="00F34E7A" w:rsidRPr="00340F48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340F48">
        <w:rPr>
          <w:rFonts w:ascii="Times New Roman" w:hAnsi="Times New Roman" w:cs="Times New Roman"/>
          <w:sz w:val="26"/>
          <w:szCs w:val="26"/>
        </w:rPr>
        <w:t>г</w:t>
      </w:r>
      <w:r w:rsidR="00E65240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Pr="00340F48">
        <w:rPr>
          <w:rFonts w:ascii="Times New Roman" w:eastAsia="Calibri" w:hAnsi="Times New Roman" w:cs="Times New Roman"/>
          <w:sz w:val="26"/>
          <w:szCs w:val="26"/>
        </w:rPr>
        <w:t xml:space="preserve">, являются нормативная правовая база Российской Федерации, Ярославской области и </w:t>
      </w:r>
      <w:r w:rsidR="007566DC" w:rsidRPr="00340F48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340F48">
        <w:rPr>
          <w:rFonts w:ascii="Times New Roman" w:eastAsia="Calibri" w:hAnsi="Times New Roman" w:cs="Times New Roman"/>
          <w:sz w:val="26"/>
          <w:szCs w:val="26"/>
        </w:rPr>
        <w:t>г</w:t>
      </w:r>
      <w:r w:rsidR="00E65240">
        <w:rPr>
          <w:rFonts w:ascii="Times New Roman" w:eastAsia="Calibri" w:hAnsi="Times New Roman" w:cs="Times New Roman"/>
          <w:sz w:val="26"/>
          <w:szCs w:val="26"/>
        </w:rPr>
        <w:t>ород Переславль-Залесский</w:t>
      </w:r>
      <w:r w:rsidRPr="00340F48">
        <w:rPr>
          <w:rFonts w:ascii="Times New Roman" w:eastAsia="Calibri" w:hAnsi="Times New Roman" w:cs="Times New Roman"/>
          <w:sz w:val="26"/>
          <w:szCs w:val="26"/>
        </w:rPr>
        <w:t>, а именно:</w:t>
      </w:r>
    </w:p>
    <w:p w:rsidR="00E65240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40F48">
        <w:rPr>
          <w:rFonts w:ascii="Times New Roman" w:hAnsi="Times New Roman" w:cs="Times New Roman"/>
          <w:sz w:val="26"/>
          <w:szCs w:val="26"/>
        </w:rPr>
        <w:t>Указ Президент</w:t>
      </w:r>
      <w:r>
        <w:rPr>
          <w:rFonts w:ascii="Times New Roman" w:hAnsi="Times New Roman" w:cs="Times New Roman"/>
          <w:sz w:val="26"/>
          <w:szCs w:val="26"/>
        </w:rPr>
        <w:t>а Российской Федерации от 09.06.2010</w:t>
      </w:r>
      <w:r w:rsidRPr="00340F48">
        <w:rPr>
          <w:rFonts w:ascii="Times New Roman" w:hAnsi="Times New Roman" w:cs="Times New Roman"/>
          <w:sz w:val="26"/>
          <w:szCs w:val="26"/>
        </w:rPr>
        <w:t xml:space="preserve"> № 690 «Об утверждении Стратегии государственной антинаркотической политики Рос</w:t>
      </w:r>
      <w:r>
        <w:rPr>
          <w:rFonts w:ascii="Times New Roman" w:hAnsi="Times New Roman" w:cs="Times New Roman"/>
          <w:sz w:val="26"/>
          <w:szCs w:val="26"/>
        </w:rPr>
        <w:t>сийской Федерации до 2020 года»;</w:t>
      </w:r>
    </w:p>
    <w:p w:rsidR="009643C8" w:rsidRDefault="009643C8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:rsidR="00492FE9" w:rsidRPr="00340F48" w:rsidRDefault="00492FE9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340F48">
        <w:rPr>
          <w:rFonts w:ascii="Times New Roman" w:hAnsi="Times New Roman" w:cs="Times New Roman"/>
          <w:sz w:val="26"/>
          <w:szCs w:val="26"/>
        </w:rPr>
        <w:t>Стратегия национальной безопасности Российской Феде</w:t>
      </w:r>
      <w:r w:rsidR="00E65240">
        <w:rPr>
          <w:rFonts w:ascii="Times New Roman" w:hAnsi="Times New Roman" w:cs="Times New Roman"/>
          <w:sz w:val="26"/>
          <w:szCs w:val="26"/>
        </w:rPr>
        <w:t>рации до 2020 года, утвержденная</w:t>
      </w:r>
      <w:r w:rsidRPr="00340F48">
        <w:rPr>
          <w:rFonts w:ascii="Times New Roman" w:hAnsi="Times New Roman" w:cs="Times New Roman"/>
          <w:sz w:val="26"/>
          <w:szCs w:val="26"/>
        </w:rPr>
        <w:t xml:space="preserve"> Указом Президент</w:t>
      </w:r>
      <w:r w:rsidR="00E65240">
        <w:rPr>
          <w:rFonts w:ascii="Times New Roman" w:hAnsi="Times New Roman" w:cs="Times New Roman"/>
          <w:sz w:val="26"/>
          <w:szCs w:val="26"/>
        </w:rPr>
        <w:t>а Российской Федерации от 12.05.2009 №</w:t>
      </w:r>
      <w:r w:rsidRPr="00340F48">
        <w:rPr>
          <w:rFonts w:ascii="Times New Roman" w:hAnsi="Times New Roman" w:cs="Times New Roman"/>
          <w:sz w:val="26"/>
          <w:szCs w:val="26"/>
        </w:rPr>
        <w:t xml:space="preserve"> 537;</w:t>
      </w:r>
    </w:p>
    <w:p w:rsidR="00492FE9" w:rsidRPr="00340F48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r w:rsidR="00492FE9" w:rsidRPr="00340F48">
        <w:rPr>
          <w:rFonts w:ascii="Times New Roman" w:hAnsi="Times New Roman" w:cs="Times New Roman"/>
          <w:sz w:val="26"/>
          <w:szCs w:val="26"/>
        </w:rPr>
        <w:t>закон от 24.06.1999 № 120-ФЗ «Об основах системы профилактики безнадзорности и правонарушений несовершеннолетних»;</w:t>
      </w:r>
    </w:p>
    <w:p w:rsidR="00492FE9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Федеральный закон от 08.01.1998</w:t>
      </w:r>
      <w:r w:rsidR="00492FE9" w:rsidRPr="00340F48">
        <w:rPr>
          <w:rFonts w:ascii="Times New Roman" w:hAnsi="Times New Roman" w:cs="Times New Roman"/>
          <w:sz w:val="26"/>
          <w:szCs w:val="26"/>
        </w:rPr>
        <w:t xml:space="preserve"> № 3-ФЗ «О наркотических средствах и психотропных веществах»; </w:t>
      </w:r>
    </w:p>
    <w:p w:rsidR="009643C8" w:rsidRPr="00E65240" w:rsidRDefault="009643C8" w:rsidP="009643C8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9643C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 Ярославской области от 05.05.2006</w:t>
      </w:r>
      <w:r w:rsidRPr="009643C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43C8">
        <w:rPr>
          <w:rFonts w:ascii="Times New Roman" w:hAnsi="Times New Roman" w:cs="Times New Roman"/>
          <w:sz w:val="26"/>
          <w:szCs w:val="26"/>
        </w:rPr>
        <w:t>20-з «О профилактике правонарушений в Ярославской области»;</w:t>
      </w:r>
    </w:p>
    <w:p w:rsidR="00E65240" w:rsidRPr="00E65240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40">
        <w:rPr>
          <w:rFonts w:ascii="Times New Roman" w:hAnsi="Times New Roman" w:cs="Times New Roman"/>
          <w:sz w:val="26"/>
          <w:szCs w:val="26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E65240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40">
        <w:rPr>
          <w:rFonts w:ascii="Times New Roman" w:hAnsi="Times New Roman" w:cs="Times New Roman"/>
          <w:sz w:val="26"/>
          <w:szCs w:val="26"/>
        </w:rPr>
        <w:t>- Закон Ярославской области от 05.07.2013 № 40-з «О комиссиях по делам несовершеннолетних и защите их прав Ярославской области»;</w:t>
      </w:r>
    </w:p>
    <w:p w:rsidR="00E65240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240">
        <w:rPr>
          <w:rFonts w:ascii="Times New Roman" w:hAnsi="Times New Roman" w:cs="Times New Roman"/>
          <w:sz w:val="26"/>
          <w:szCs w:val="26"/>
        </w:rPr>
        <w:t>- постановление Правительства Ярославской области от 29.12.2014 № 1408-п «Об утверждении Концепции семейной политики Ярославской области на период до 2025 года»;</w:t>
      </w:r>
    </w:p>
    <w:p w:rsidR="00E65240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от 23.04.2009 № 57 «Об утверждении Стратегии социально-экономического развития городского округа город Переслав</w:t>
      </w:r>
      <w:r w:rsidR="009643C8">
        <w:rPr>
          <w:rFonts w:ascii="Times New Roman" w:hAnsi="Times New Roman" w:cs="Times New Roman"/>
          <w:sz w:val="26"/>
          <w:szCs w:val="26"/>
        </w:rPr>
        <w:t>ль-Залесский на 2009-2020 годы».</w:t>
      </w:r>
    </w:p>
    <w:p w:rsidR="00492FE9" w:rsidRPr="00340F48" w:rsidRDefault="00D01691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D01691">
        <w:rPr>
          <w:rFonts w:ascii="Times New Roman" w:hAnsi="Times New Roman" w:cs="Times New Roman"/>
          <w:spacing w:val="2"/>
          <w:sz w:val="26"/>
          <w:szCs w:val="26"/>
        </w:rPr>
        <w:t xml:space="preserve">Ответственным исполнителем муниципальной программы является </w:t>
      </w:r>
      <w:r w:rsidR="007566DC" w:rsidRPr="00340F48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по ВМР, ГО и ЧС </w:t>
      </w:r>
      <w:r>
        <w:rPr>
          <w:rFonts w:ascii="Times New Roman" w:hAnsi="Times New Roman" w:cs="Times New Roman"/>
          <w:spacing w:val="2"/>
          <w:sz w:val="26"/>
          <w:szCs w:val="26"/>
        </w:rPr>
        <w:t>Администрации г.</w:t>
      </w:r>
      <w:r w:rsidR="00492FE9" w:rsidRPr="00340F48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Переславля-Залесского</w:t>
      </w:r>
      <w:r>
        <w:rPr>
          <w:rFonts w:ascii="Times New Roman" w:hAnsi="Times New Roman" w:cs="Times New Roman"/>
          <w:spacing w:val="2"/>
          <w:sz w:val="26"/>
          <w:szCs w:val="26"/>
        </w:rPr>
        <w:t>, которо</w:t>
      </w:r>
      <w:r w:rsidR="00492FE9" w:rsidRPr="00340F48">
        <w:rPr>
          <w:rFonts w:ascii="Times New Roman" w:hAnsi="Times New Roman" w:cs="Times New Roman"/>
          <w:spacing w:val="2"/>
          <w:sz w:val="26"/>
          <w:szCs w:val="26"/>
        </w:rPr>
        <w:t xml:space="preserve">е: </w:t>
      </w:r>
    </w:p>
    <w:p w:rsidR="00492FE9" w:rsidRPr="00340F48" w:rsidRDefault="00492FE9" w:rsidP="00D0169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D01691" w:rsidRPr="00D01691">
        <w:rPr>
          <w:rFonts w:ascii="Times New Roman" w:hAnsi="Times New Roman" w:cs="Times New Roman"/>
          <w:sz w:val="26"/>
          <w:szCs w:val="26"/>
        </w:rPr>
        <w:t xml:space="preserve">обеспечивает разработку муниципальной программы, внесение в нее изменений с подготовкой соответствующих </w:t>
      </w:r>
      <w:proofErr w:type="gramStart"/>
      <w:r w:rsidR="00D01691" w:rsidRPr="00D01691">
        <w:rPr>
          <w:rFonts w:ascii="Times New Roman" w:hAnsi="Times New Roman" w:cs="Times New Roman"/>
          <w:sz w:val="26"/>
          <w:szCs w:val="26"/>
        </w:rPr>
        <w:t>проектов постановлений Администрации города Переславля-Залесского</w:t>
      </w:r>
      <w:proofErr w:type="gramEnd"/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D01691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</w:t>
      </w:r>
      <w:r w:rsidR="00D01691" w:rsidRPr="00D01691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конечных результатов ее реализации</w:t>
      </w:r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D01691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40F48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E6725C" w:rsidRPr="00E6725C">
        <w:rPr>
          <w:rFonts w:ascii="Times New Roman" w:hAnsi="Times New Roman" w:cs="Times New Roman"/>
          <w:spacing w:val="2"/>
          <w:sz w:val="26"/>
          <w:szCs w:val="26"/>
        </w:rPr>
        <w:t>представляет по запросу управлен</w:t>
      </w:r>
      <w:r w:rsidR="00E6725C">
        <w:rPr>
          <w:rFonts w:ascii="Times New Roman" w:hAnsi="Times New Roman" w:cs="Times New Roman"/>
          <w:spacing w:val="2"/>
          <w:sz w:val="26"/>
          <w:szCs w:val="26"/>
        </w:rPr>
        <w:t xml:space="preserve">ия финансов Администрации </w:t>
      </w:r>
      <w:proofErr w:type="gramStart"/>
      <w:r w:rsidR="00E6725C">
        <w:rPr>
          <w:rFonts w:ascii="Times New Roman" w:hAnsi="Times New Roman" w:cs="Times New Roman"/>
          <w:spacing w:val="2"/>
          <w:sz w:val="26"/>
          <w:szCs w:val="26"/>
        </w:rPr>
        <w:t>г</w:t>
      </w:r>
      <w:proofErr w:type="gramEnd"/>
      <w:r w:rsidR="00E6725C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6725C" w:rsidRPr="00E6725C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Переславля-Залесского сведения, необходимые для проведения мониторинга реализации муниципальной программы</w:t>
      </w:r>
      <w:r w:rsidRPr="00340F48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492FE9" w:rsidRPr="00340F48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E6725C" w:rsidRPr="00E6725C">
        <w:rPr>
          <w:rFonts w:ascii="Times New Roman" w:hAnsi="Times New Roman" w:cs="Times New Roman"/>
          <w:spacing w:val="2"/>
          <w:sz w:val="26"/>
          <w:szCs w:val="26"/>
        </w:rPr>
        <w:t xml:space="preserve">запрашивает у соисполнителей сведения, необходимые для подготовки информации о ходе реализации муниципальной программы, в том числе для </w:t>
      </w:r>
      <w:r w:rsidR="00E6725C" w:rsidRPr="00E6725C">
        <w:rPr>
          <w:rFonts w:ascii="Times New Roman" w:hAnsi="Times New Roman" w:cs="Times New Roman"/>
          <w:spacing w:val="2"/>
          <w:sz w:val="26"/>
          <w:szCs w:val="26"/>
        </w:rPr>
        <w:lastRenderedPageBreak/>
        <w:t>подготовки ответов на запросы управлен</w:t>
      </w:r>
      <w:r w:rsidR="00E6725C">
        <w:rPr>
          <w:rFonts w:ascii="Times New Roman" w:hAnsi="Times New Roman" w:cs="Times New Roman"/>
          <w:spacing w:val="2"/>
          <w:sz w:val="26"/>
          <w:szCs w:val="26"/>
        </w:rPr>
        <w:t xml:space="preserve">ия финансов Администрации </w:t>
      </w:r>
      <w:proofErr w:type="gramStart"/>
      <w:r w:rsidR="00E6725C">
        <w:rPr>
          <w:rFonts w:ascii="Times New Roman" w:hAnsi="Times New Roman" w:cs="Times New Roman"/>
          <w:spacing w:val="2"/>
          <w:sz w:val="26"/>
          <w:szCs w:val="26"/>
        </w:rPr>
        <w:t>г</w:t>
      </w:r>
      <w:proofErr w:type="gramEnd"/>
      <w:r w:rsidR="00E6725C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6725C" w:rsidRPr="00E6725C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Переславля-Залесского</w:t>
      </w:r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</w:t>
      </w:r>
      <w:r w:rsidR="00E6725C" w:rsidRPr="00E6725C">
        <w:rPr>
          <w:rFonts w:ascii="Times New Roman" w:hAnsi="Times New Roman" w:cs="Times New Roman"/>
          <w:sz w:val="26"/>
          <w:szCs w:val="26"/>
        </w:rPr>
        <w:t>проводит оценку эффективности мероприятий муниципальной программы</w:t>
      </w:r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</w:t>
      </w:r>
      <w:r w:rsidR="00E6725C" w:rsidRPr="00E6725C">
        <w:rPr>
          <w:rFonts w:ascii="Times New Roman" w:hAnsi="Times New Roman" w:cs="Times New Roman"/>
          <w:sz w:val="26"/>
          <w:szCs w:val="26"/>
        </w:rPr>
        <w:t>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</w:t>
      </w:r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</w:t>
      </w:r>
      <w:r w:rsidR="00E6725C" w:rsidRPr="00E6725C">
        <w:rPr>
          <w:rFonts w:ascii="Times New Roman" w:hAnsi="Times New Roman" w:cs="Times New Roman"/>
          <w:sz w:val="26"/>
          <w:szCs w:val="26"/>
        </w:rPr>
        <w:t>при необходимости рекомендует соисполнителям, участникам осуществить разработку подпрограммы муниципальной программы, основных мероприятий, входящих в состав подпрограммы муниципальной программы</w:t>
      </w:r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подготавливают годовой </w:t>
      </w:r>
      <w:proofErr w:type="gramStart"/>
      <w:r w:rsidRPr="00340F48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340F48">
        <w:rPr>
          <w:rFonts w:ascii="Times New Roman" w:hAnsi="Times New Roman" w:cs="Times New Roman"/>
          <w:sz w:val="26"/>
          <w:szCs w:val="26"/>
        </w:rPr>
        <w:t xml:space="preserve"> и представляет его в управлен</w:t>
      </w:r>
      <w:r w:rsidR="00F9559C">
        <w:rPr>
          <w:rFonts w:ascii="Times New Roman" w:hAnsi="Times New Roman" w:cs="Times New Roman"/>
          <w:sz w:val="26"/>
          <w:szCs w:val="26"/>
        </w:rPr>
        <w:t>ие финансов Администрации г.</w:t>
      </w:r>
      <w:r w:rsidR="00885038" w:rsidRPr="00340F4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340F48">
        <w:rPr>
          <w:rFonts w:ascii="Times New Roman" w:hAnsi="Times New Roman" w:cs="Times New Roman"/>
          <w:sz w:val="26"/>
          <w:szCs w:val="26"/>
        </w:rPr>
        <w:t>.</w:t>
      </w:r>
    </w:p>
    <w:p w:rsidR="00492FE9" w:rsidRPr="00340F48" w:rsidRDefault="00207F83" w:rsidP="00F9559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F83">
        <w:rPr>
          <w:rFonts w:ascii="Times New Roman" w:hAnsi="Times New Roman" w:cs="Times New Roman"/>
          <w:sz w:val="26"/>
          <w:szCs w:val="26"/>
        </w:rPr>
        <w:t>Соисполнителями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являются </w:t>
      </w:r>
      <w:r w:rsidR="00492FE9" w:rsidRPr="00340F48">
        <w:rPr>
          <w:rFonts w:ascii="Times New Roman" w:hAnsi="Times New Roman" w:cs="Times New Roman"/>
          <w:sz w:val="26"/>
          <w:szCs w:val="26"/>
        </w:rPr>
        <w:t>отраслевые (функциональные) подразделения Администрации города</w:t>
      </w:r>
      <w:r w:rsidR="008106B3" w:rsidRPr="00340F4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492FE9" w:rsidRPr="00340F48">
        <w:rPr>
          <w:rFonts w:ascii="Times New Roman" w:hAnsi="Times New Roman" w:cs="Times New Roman"/>
          <w:sz w:val="26"/>
          <w:szCs w:val="26"/>
        </w:rPr>
        <w:t xml:space="preserve"> и главные распорядители бюджетных средств, участвующие в реализации мер</w:t>
      </w:r>
      <w:r>
        <w:rPr>
          <w:rFonts w:ascii="Times New Roman" w:hAnsi="Times New Roman" w:cs="Times New Roman"/>
          <w:sz w:val="26"/>
          <w:szCs w:val="26"/>
        </w:rPr>
        <w:t>оприятий муниципальной программы</w:t>
      </w:r>
      <w:r w:rsidR="00492FE9" w:rsidRPr="00340F48">
        <w:rPr>
          <w:rFonts w:ascii="Times New Roman" w:hAnsi="Times New Roman" w:cs="Times New Roman"/>
          <w:sz w:val="26"/>
          <w:szCs w:val="26"/>
        </w:rPr>
        <w:t>, и в пределах своих компетенций:</w:t>
      </w:r>
    </w:p>
    <w:p w:rsidR="00492FE9" w:rsidRPr="00340F48" w:rsidRDefault="00492FE9" w:rsidP="00207F8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>- принимаю</w:t>
      </w:r>
      <w:r w:rsidR="00207F83">
        <w:rPr>
          <w:rFonts w:ascii="Times New Roman" w:hAnsi="Times New Roman" w:cs="Times New Roman"/>
          <w:sz w:val="26"/>
          <w:szCs w:val="26"/>
        </w:rPr>
        <w:t>т участие в разработке муниципальной программы</w:t>
      </w:r>
      <w:r w:rsidRPr="00340F48">
        <w:rPr>
          <w:rFonts w:ascii="Times New Roman" w:hAnsi="Times New Roman" w:cs="Times New Roman"/>
          <w:sz w:val="26"/>
          <w:szCs w:val="26"/>
        </w:rPr>
        <w:t>;</w:t>
      </w:r>
    </w:p>
    <w:p w:rsidR="00492FE9" w:rsidRPr="00340F48" w:rsidRDefault="00492FE9" w:rsidP="00207F8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осуществляют реализацию мероприятий </w:t>
      </w:r>
      <w:r w:rsidR="00207F83">
        <w:rPr>
          <w:rFonts w:ascii="Times New Roman" w:hAnsi="Times New Roman" w:cs="Times New Roman"/>
          <w:sz w:val="26"/>
          <w:szCs w:val="26"/>
        </w:rPr>
        <w:t>муниципальной п</w:t>
      </w:r>
      <w:r w:rsidRPr="00340F48">
        <w:rPr>
          <w:rFonts w:ascii="Times New Roman" w:hAnsi="Times New Roman" w:cs="Times New Roman"/>
          <w:sz w:val="26"/>
          <w:szCs w:val="26"/>
        </w:rPr>
        <w:t>рограммы;</w:t>
      </w:r>
    </w:p>
    <w:p w:rsidR="00492FE9" w:rsidRPr="00340F48" w:rsidRDefault="00492FE9" w:rsidP="00207F83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0F48">
        <w:rPr>
          <w:rFonts w:ascii="Times New Roman" w:hAnsi="Times New Roman" w:cs="Times New Roman"/>
          <w:sz w:val="26"/>
          <w:szCs w:val="26"/>
        </w:rPr>
        <w:t xml:space="preserve">- представляют в установленный срок ответственному исполнителю необходимые сведения для подготовки информации о ходе реализации </w:t>
      </w:r>
      <w:r w:rsidR="00207F83">
        <w:rPr>
          <w:rFonts w:ascii="Times New Roman" w:hAnsi="Times New Roman" w:cs="Times New Roman"/>
          <w:sz w:val="26"/>
          <w:szCs w:val="26"/>
        </w:rPr>
        <w:t>муниципальной п</w:t>
      </w:r>
      <w:r w:rsidRPr="00340F48">
        <w:rPr>
          <w:rFonts w:ascii="Times New Roman" w:hAnsi="Times New Roman" w:cs="Times New Roman"/>
          <w:sz w:val="26"/>
          <w:szCs w:val="26"/>
        </w:rPr>
        <w:t>рограммы, в том числе на запросы управлен</w:t>
      </w:r>
      <w:r w:rsidR="00207F83">
        <w:rPr>
          <w:rFonts w:ascii="Times New Roman" w:hAnsi="Times New Roman" w:cs="Times New Roman"/>
          <w:sz w:val="26"/>
          <w:szCs w:val="26"/>
        </w:rPr>
        <w:t xml:space="preserve">ия финансов Администрации </w:t>
      </w:r>
      <w:proofErr w:type="gramStart"/>
      <w:r w:rsidR="00207F8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07F83">
        <w:rPr>
          <w:rFonts w:ascii="Times New Roman" w:hAnsi="Times New Roman" w:cs="Times New Roman"/>
          <w:sz w:val="26"/>
          <w:szCs w:val="26"/>
        </w:rPr>
        <w:t>.</w:t>
      </w:r>
      <w:r w:rsidR="008106B3" w:rsidRPr="00340F4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340F48">
        <w:rPr>
          <w:rFonts w:ascii="Times New Roman" w:hAnsi="Times New Roman" w:cs="Times New Roman"/>
          <w:sz w:val="26"/>
          <w:szCs w:val="26"/>
        </w:rPr>
        <w:t>, для проведения оценки эф</w:t>
      </w:r>
      <w:r w:rsidR="00207F83">
        <w:rPr>
          <w:rFonts w:ascii="Times New Roman" w:hAnsi="Times New Roman" w:cs="Times New Roman"/>
          <w:sz w:val="26"/>
          <w:szCs w:val="26"/>
        </w:rPr>
        <w:t>фективности реализации муниципальной программы</w:t>
      </w:r>
      <w:r w:rsidRPr="00340F48">
        <w:rPr>
          <w:rFonts w:ascii="Times New Roman" w:hAnsi="Times New Roman" w:cs="Times New Roman"/>
          <w:sz w:val="26"/>
          <w:szCs w:val="26"/>
        </w:rPr>
        <w:t xml:space="preserve"> и подготовки годового отчета.</w:t>
      </w:r>
    </w:p>
    <w:p w:rsidR="00492FE9" w:rsidRPr="00340F48" w:rsidRDefault="00492FE9" w:rsidP="00340F4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2649" w:rsidRDefault="00562649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6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Основные сведения о подпрограммах, входящих в муниципальную программу</w:t>
      </w:r>
    </w:p>
    <w:p w:rsidR="00492FE9" w:rsidRPr="00142363" w:rsidRDefault="00292582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F48">
        <w:rPr>
          <w:rFonts w:ascii="Times New Roman" w:hAnsi="Times New Roman" w:cs="Times New Roman"/>
          <w:b/>
          <w:sz w:val="26"/>
          <w:szCs w:val="26"/>
        </w:rPr>
        <w:t>7.1.</w:t>
      </w:r>
      <w:r w:rsidRPr="00340F48">
        <w:rPr>
          <w:rFonts w:ascii="Times New Roman" w:hAnsi="Times New Roman" w:cs="Times New Roman"/>
          <w:sz w:val="26"/>
          <w:szCs w:val="26"/>
        </w:rPr>
        <w:t xml:space="preserve"> </w:t>
      </w:r>
      <w:r w:rsidR="00415570" w:rsidRPr="00415570">
        <w:rPr>
          <w:rFonts w:ascii="Times New Roman" w:hAnsi="Times New Roman" w:cs="Times New Roman"/>
          <w:b/>
          <w:sz w:val="26"/>
          <w:szCs w:val="26"/>
        </w:rPr>
        <w:t>Городская целевая программа «Борьба с преступностью на территории городского округа город Переславль-Залесский» на 2019-2021 годы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92FE9" w:rsidRPr="00142363" w:rsidRDefault="008106B3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 w:rsidR="00A6321B" w:rsidRPr="00A6321B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на территории городского округа город Переславль-Залесский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492FE9" w:rsidRPr="00142363" w:rsidRDefault="008106B3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92FE9" w:rsidRPr="00142363" w:rsidTr="00153724">
        <w:trPr>
          <w:trHeight w:val="135"/>
        </w:trPr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492FE9" w:rsidRPr="00142363" w:rsidRDefault="00A6321B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ВМР, ГО и ЧС Администрации г. Переславля-Залесского</w:t>
            </w:r>
          </w:p>
        </w:tc>
      </w:tr>
      <w:tr w:rsidR="00492FE9" w:rsidRPr="00142363" w:rsidTr="00153724">
        <w:trPr>
          <w:trHeight w:val="135"/>
        </w:trPr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437,6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 </w:t>
            </w: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437,6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164,0 тыс. руб.;</w:t>
            </w: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321B" w:rsidRPr="00A6321B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492FE9" w:rsidRPr="00142363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 тыс. руб.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684C11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-  создание мотивации и условий жителям городского округа город Переславль-Залесский для ведения здорового образа жизни;</w:t>
            </w:r>
          </w:p>
          <w:p w:rsidR="00492FE9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населения.</w:t>
            </w:r>
          </w:p>
        </w:tc>
      </w:tr>
      <w:tr w:rsidR="00492FE9" w:rsidRPr="00142363" w:rsidTr="00153724">
        <w:trPr>
          <w:trHeight w:val="273"/>
        </w:trPr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37" w:type="dxa"/>
          </w:tcPr>
          <w:p w:rsidR="00684C11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Переславль-Залесский;</w:t>
            </w:r>
          </w:p>
          <w:p w:rsidR="00684C11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684C11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правонарушения;</w:t>
            </w:r>
          </w:p>
          <w:p w:rsidR="00492FE9" w:rsidRPr="00684C11" w:rsidRDefault="00684C11" w:rsidP="00153724">
            <w:pPr>
              <w:pStyle w:val="a6"/>
              <w:jc w:val="both"/>
            </w:pP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684C11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исло преступлений, совершаемых в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11" w:rsidRPr="00684C11" w:rsidRDefault="00684C11" w:rsidP="0015372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исло преступлений, совершаемых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FE9" w:rsidRPr="00684C11" w:rsidRDefault="00684C11" w:rsidP="00153724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483694">
              <w:rPr>
                <w:rFonts w:ascii="Times New Roman" w:hAnsi="Times New Roman" w:cs="Times New Roman"/>
                <w:sz w:val="24"/>
                <w:szCs w:val="24"/>
              </w:rPr>
              <w:t xml:space="preserve">исло преступлений, совершаемых </w:t>
            </w:r>
            <w:r w:rsidRPr="00684C11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FE9" w:rsidRPr="00142363" w:rsidTr="00153724">
        <w:tc>
          <w:tcPr>
            <w:tcW w:w="3544" w:type="dxa"/>
            <w:tcBorders>
              <w:bottom w:val="single" w:sz="4" w:space="0" w:color="auto"/>
            </w:tcBorders>
          </w:tcPr>
          <w:p w:rsidR="00492FE9" w:rsidRPr="00142363" w:rsidRDefault="00153724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4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2274A6" w:rsidRDefault="00492FE9" w:rsidP="00153724">
            <w:pPr>
              <w:pStyle w:val="a6"/>
              <w:jc w:val="both"/>
              <w:rPr>
                <w:sz w:val="26"/>
                <w:szCs w:val="26"/>
              </w:rPr>
            </w:pPr>
            <w:r w:rsidRPr="002274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1537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2274A6">
              <w:rPr>
                <w:rFonts w:ascii="Times New Roman" w:hAnsi="Times New Roman" w:cs="Times New Roman"/>
                <w:sz w:val="24"/>
                <w:szCs w:val="24"/>
              </w:rPr>
              <w:t xml:space="preserve">города Переславля-Залесского от </w:t>
            </w:r>
            <w:r w:rsidR="002274A6">
              <w:rPr>
                <w:rFonts w:ascii="Times New Roman" w:hAnsi="Times New Roman" w:cs="Times New Roman"/>
                <w:sz w:val="24"/>
                <w:szCs w:val="24"/>
              </w:rPr>
              <w:t>29.01.2019 № ПОС.03-0048/19 «</w:t>
            </w:r>
            <w:r w:rsidR="002274A6" w:rsidRPr="002274A6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 w:rsidR="0015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4A6" w:rsidRPr="002274A6">
              <w:rPr>
                <w:rFonts w:ascii="Times New Roman" w:hAnsi="Times New Roman" w:cs="Times New Roman"/>
                <w:sz w:val="24"/>
                <w:szCs w:val="24"/>
              </w:rPr>
              <w:t>«Борьба с преступностью на территории городского округа город Переславль-Залесский» на 2019-2021 годы</w:t>
            </w:r>
            <w:r w:rsidR="00153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582" w:rsidRPr="00142363" w:rsidTr="0015372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92582" w:rsidRDefault="00292582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582" w:rsidRPr="002274A6" w:rsidRDefault="00292582" w:rsidP="00B3603B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7.2 </w:t>
            </w:r>
            <w:r w:rsidR="00B3603B" w:rsidRPr="00B3603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92FE9" w:rsidRPr="00142363" w:rsidRDefault="00492FE9" w:rsidP="00B36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</w:t>
            </w:r>
            <w:r w:rsidR="00FF5291" w:rsidRPr="001423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03B" w:rsidRPr="00B3603B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FF52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F5291" w:rsidRPr="00142363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FF5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5291"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F5291">
              <w:rPr>
                <w:rFonts w:ascii="Times New Roman" w:hAnsi="Times New Roman" w:cs="Times New Roman"/>
                <w:sz w:val="24"/>
                <w:szCs w:val="24"/>
              </w:rPr>
              <w:t>21 годы</w:t>
            </w:r>
            <w:r w:rsidR="00FF5291"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492FE9" w:rsidRPr="00142363" w:rsidRDefault="00FF5291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FE9" w:rsidRPr="0014236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492FE9" w:rsidRPr="00142363" w:rsidRDefault="00492FE9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  <w:r w:rsidR="00B360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B360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3603B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328,2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 </w:t>
            </w: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328,2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3603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 тыс. руб.;</w:t>
            </w: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105,1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105,1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603B" w:rsidRPr="00A6321B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100,1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492FE9" w:rsidRPr="00142363" w:rsidRDefault="00B3603B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100,1 тыс. руб.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DD2C16" w:rsidRPr="00DD2C16" w:rsidRDefault="00DD2C16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городского округа для ведения здорового образа жизни;</w:t>
            </w:r>
          </w:p>
          <w:p w:rsidR="00492FE9" w:rsidRPr="00142363" w:rsidRDefault="00DD2C16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37" w:type="dxa"/>
          </w:tcPr>
          <w:p w:rsidR="00DD2C16" w:rsidRPr="0083210D" w:rsidRDefault="00DD2C16" w:rsidP="00B36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несовершеннолетних;</w:t>
            </w:r>
          </w:p>
          <w:p w:rsidR="00DD2C16" w:rsidRPr="0083210D" w:rsidRDefault="00DD2C16" w:rsidP="00B36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83210D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DD2C16" w:rsidRPr="0083210D" w:rsidRDefault="00DD2C16" w:rsidP="00B36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неблагополучия;</w:t>
            </w:r>
          </w:p>
          <w:p w:rsidR="00492FE9" w:rsidRPr="00142363" w:rsidRDefault="00DD2C16" w:rsidP="00B360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10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492FE9" w:rsidRPr="00142363" w:rsidTr="00153724">
        <w:tc>
          <w:tcPr>
            <w:tcW w:w="3544" w:type="dxa"/>
          </w:tcPr>
          <w:p w:rsidR="00492FE9" w:rsidRPr="00142363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DD2C16" w:rsidRPr="00DD2C16" w:rsidRDefault="002A7629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D2C16" w:rsidRPr="00DD2C16">
              <w:rPr>
                <w:rFonts w:ascii="Times New Roman" w:hAnsi="Times New Roman" w:cs="Times New Roman"/>
                <w:sz w:val="24"/>
                <w:szCs w:val="24"/>
              </w:rPr>
              <w:t>оличество преступлений, совершенных несовершеннолетними, проживающими в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C16" w:rsidRPr="00DD2C16" w:rsidRDefault="002A7629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D2C16" w:rsidRPr="00DD2C16">
              <w:rPr>
                <w:rFonts w:ascii="Times New Roman" w:hAnsi="Times New Roman" w:cs="Times New Roman"/>
                <w:sz w:val="24"/>
                <w:szCs w:val="24"/>
              </w:rPr>
              <w:t>оличество правонарушений, совершенных несовершеннолетними, проживающими в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C16" w:rsidRPr="00DD2C16" w:rsidRDefault="00B3603B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число</w:t>
            </w:r>
            <w:r w:rsidR="00DD2C16" w:rsidRPr="00DD2C1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состоящих на учете в территориальной комиссии по делам несовершеннолетних и защите их прав</w:t>
            </w:r>
            <w:r w:rsidR="002A76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FE9" w:rsidRPr="00DD2C16" w:rsidRDefault="002A7629" w:rsidP="00B3603B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D2C16" w:rsidRPr="00DD2C16">
              <w:rPr>
                <w:rFonts w:ascii="Times New Roman" w:hAnsi="Times New Roman" w:cs="Times New Roman"/>
                <w:sz w:val="24"/>
                <w:szCs w:val="24"/>
              </w:rPr>
              <w:t>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FE9" w:rsidRPr="00142363" w:rsidTr="00153724">
        <w:trPr>
          <w:trHeight w:val="1731"/>
        </w:trPr>
        <w:tc>
          <w:tcPr>
            <w:tcW w:w="3544" w:type="dxa"/>
            <w:tcBorders>
              <w:bottom w:val="single" w:sz="4" w:space="0" w:color="auto"/>
            </w:tcBorders>
          </w:tcPr>
          <w:p w:rsidR="00492FE9" w:rsidRPr="00142363" w:rsidRDefault="00B3603B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03B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DD2C16" w:rsidRDefault="00492FE9" w:rsidP="00B3603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B3603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 xml:space="preserve">города Переславля-Залесского </w:t>
            </w:r>
            <w:r w:rsidR="00FF5291" w:rsidRPr="00DD2C16">
              <w:rPr>
                <w:rFonts w:ascii="Times New Roman" w:hAnsi="Times New Roman" w:cs="Times New Roman"/>
                <w:sz w:val="24"/>
                <w:szCs w:val="24"/>
              </w:rPr>
              <w:t>от 28.08.2018 № ПОС.03-1214/18</w:t>
            </w:r>
          </w:p>
          <w:p w:rsidR="00492FE9" w:rsidRPr="00142363" w:rsidRDefault="00FF5291" w:rsidP="00B3603B">
            <w:pPr>
              <w:pStyle w:val="a6"/>
              <w:jc w:val="both"/>
            </w:pP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</w:t>
            </w:r>
            <w:r w:rsidR="00B3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</w:t>
            </w:r>
            <w:r w:rsidR="00B3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>и защита прав несовершеннолетних на территории</w:t>
            </w:r>
            <w:r w:rsidR="00B3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Переславль-Залесский»</w:t>
            </w:r>
            <w:r w:rsidR="00B36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16">
              <w:rPr>
                <w:rFonts w:ascii="Times New Roman" w:hAnsi="Times New Roman" w:cs="Times New Roman"/>
                <w:sz w:val="24"/>
                <w:szCs w:val="24"/>
              </w:rPr>
              <w:t xml:space="preserve">на 2019-2021 </w:t>
            </w:r>
            <w:r w:rsidRPr="00B3603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B3603B" w:rsidRPr="00B36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92582" w:rsidRDefault="00292582" w:rsidP="00292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2582" w:rsidRPr="00292582" w:rsidRDefault="00292582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11F">
        <w:rPr>
          <w:rFonts w:ascii="Times New Roman" w:hAnsi="Times New Roman" w:cs="Times New Roman"/>
          <w:b/>
          <w:sz w:val="26"/>
          <w:szCs w:val="26"/>
        </w:rPr>
        <w:t>7.3. Городская целевая программа «Комплексные меры противодействия злоупотреблению наркотиками и их незакон</w:t>
      </w:r>
      <w:r w:rsidR="0011211F">
        <w:rPr>
          <w:rFonts w:ascii="Times New Roman" w:hAnsi="Times New Roman" w:cs="Times New Roman"/>
          <w:b/>
          <w:sz w:val="26"/>
          <w:szCs w:val="26"/>
        </w:rPr>
        <w:t>ному обороту» на 2019-2021 годы</w:t>
      </w: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2A7629" w:rsidRPr="002A7629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2A7629" w:rsidRPr="002A7629">
              <w:rPr>
                <w:rFonts w:ascii="Times New Roman" w:hAnsi="Times New Roman" w:cs="Times New Roman"/>
                <w:sz w:val="24"/>
                <w:szCs w:val="24"/>
              </w:rPr>
              <w:t>ская целевая программа «Комплексные меры противодействия</w:t>
            </w:r>
            <w:r w:rsidR="002A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29" w:rsidRPr="002A7629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злоупотреблению наркотиками и их </w:t>
            </w:r>
          </w:p>
          <w:p w:rsidR="00DD2C16" w:rsidRPr="00142363" w:rsidRDefault="002A762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2019-2021 годы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A7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A76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E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794E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94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629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56,1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 </w:t>
            </w: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56,1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94E29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21,0 тыс. руб.;</w:t>
            </w: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94E29" w:rsidRPr="00A6321B" w:rsidRDefault="00794E29" w:rsidP="00794E2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DD2C16" w:rsidRPr="00142363" w:rsidRDefault="00794E29" w:rsidP="00794E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 тыс. руб.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7" w:type="dxa"/>
          </w:tcPr>
          <w:p w:rsidR="002A7629" w:rsidRPr="002A7629" w:rsidRDefault="002A762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городского округа для ведения здорового образа жизни;</w:t>
            </w:r>
          </w:p>
          <w:p w:rsidR="002A7629" w:rsidRPr="002A7629" w:rsidRDefault="002A762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городского округа;</w:t>
            </w:r>
          </w:p>
          <w:p w:rsidR="00DD2C16" w:rsidRPr="002A7629" w:rsidRDefault="007B2307" w:rsidP="00F63BE4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</w:t>
            </w:r>
            <w:r w:rsidR="00D80C47" w:rsidRPr="002A7629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 w:rsidR="00D80C47" w:rsidRPr="001C330F">
              <w:t xml:space="preserve"> 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2A7629" w:rsidRPr="002A7629" w:rsidRDefault="002A7629" w:rsidP="00F63B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2A7629" w:rsidRPr="002A7629" w:rsidRDefault="002A7629" w:rsidP="00F63B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- повышение антинаркотической ориентации общества, его моральное и физическое оздоровление;</w:t>
            </w:r>
          </w:p>
          <w:p w:rsidR="00DD2C16" w:rsidRPr="00142363" w:rsidRDefault="002A762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менеджмент.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2A7629" w:rsidRPr="002A7629" w:rsidRDefault="002A7629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исло лиц, состоящих на учете у врача-нарколога с диагнозом «наркомания»</w:t>
            </w:r>
            <w:r w:rsidR="002E67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2C16" w:rsidRPr="002A7629" w:rsidRDefault="002A7629" w:rsidP="00F63BE4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2A7629">
              <w:rPr>
                <w:rFonts w:ascii="Times New Roman" w:hAnsi="Times New Roman" w:cs="Times New Roman"/>
                <w:sz w:val="24"/>
                <w:szCs w:val="24"/>
              </w:rPr>
              <w:t>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</w:t>
            </w:r>
            <w:r w:rsidR="002E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C16" w:rsidTr="00794E29">
        <w:tc>
          <w:tcPr>
            <w:tcW w:w="3544" w:type="dxa"/>
          </w:tcPr>
          <w:p w:rsidR="00DD2C16" w:rsidRPr="00142363" w:rsidRDefault="00D12547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7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BC13E5" w:rsidRPr="00AE3ACA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D1254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AE3ACA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proofErr w:type="gramStart"/>
            <w:r w:rsidRPr="00AE3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3E5" w:rsidRPr="00AE3A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C13E5" w:rsidRPr="00AE3ACA">
              <w:rPr>
                <w:rFonts w:ascii="Times New Roman" w:hAnsi="Times New Roman" w:cs="Times New Roman"/>
                <w:sz w:val="24"/>
                <w:szCs w:val="24"/>
              </w:rPr>
              <w:t>т 25.12.2018 № ПОС.03-2348/18</w:t>
            </w:r>
          </w:p>
          <w:p w:rsidR="00DD2C16" w:rsidRPr="00AE3ACA" w:rsidRDefault="00D12547" w:rsidP="00D12547">
            <w:pPr>
              <w:pStyle w:val="a6"/>
              <w:jc w:val="both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3ACA" w:rsidRPr="00AE3ACA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ACA" w:rsidRPr="00AE3ACA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ACA" w:rsidRPr="00AE3ACA">
              <w:rPr>
                <w:rFonts w:ascii="Times New Roman" w:hAnsi="Times New Roman" w:cs="Times New Roman"/>
                <w:sz w:val="24"/>
                <w:szCs w:val="24"/>
              </w:rPr>
              <w:t>злоупотреблению наркотиками и их незаконному обороту» на 2019-2021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92582" w:rsidRDefault="00292582" w:rsidP="00292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2582" w:rsidRPr="00142363" w:rsidRDefault="00292582" w:rsidP="0062142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426">
        <w:rPr>
          <w:rFonts w:ascii="Times New Roman" w:hAnsi="Times New Roman" w:cs="Times New Roman"/>
          <w:b/>
          <w:sz w:val="26"/>
          <w:szCs w:val="26"/>
        </w:rPr>
        <w:t>7.4. Городская целевая программа «Гармонизация межнациональных отношений в городе Переславле</w:t>
      </w:r>
      <w:r w:rsidR="00621426">
        <w:rPr>
          <w:rFonts w:ascii="Times New Roman" w:hAnsi="Times New Roman" w:cs="Times New Roman"/>
          <w:b/>
          <w:sz w:val="26"/>
          <w:szCs w:val="26"/>
        </w:rPr>
        <w:t>-Залесском» на 2018 – 2020 годы</w:t>
      </w: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21C9A" w:rsidRPr="00521C9A" w:rsidRDefault="00521C9A" w:rsidP="00006C92">
            <w:pPr>
              <w:pStyle w:val="a6"/>
              <w:jc w:val="both"/>
              <w:rPr>
                <w:color w:val="2D1400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  <w:r w:rsidR="00006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Переславле-Залесском» </w:t>
            </w: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на 2018 – 2020 годы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21C9A" w:rsidRPr="00142363" w:rsidRDefault="00006C92" w:rsidP="00006C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285,5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 </w:t>
            </w: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285,5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06C92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 тыс. руб.;</w:t>
            </w: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6C92" w:rsidRPr="00A6321B" w:rsidRDefault="00006C92" w:rsidP="00006C9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85,5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521C9A" w:rsidRPr="00142363" w:rsidRDefault="00006C92" w:rsidP="00006C9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85,5 тыс. руб.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7" w:type="dxa"/>
          </w:tcPr>
          <w:p w:rsidR="00521C9A" w:rsidRPr="00521C9A" w:rsidRDefault="00521C9A" w:rsidP="00F63BE4">
            <w:pPr>
              <w:pStyle w:val="a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521C9A" w:rsidRPr="00521C9A" w:rsidRDefault="00521C9A" w:rsidP="00F63BE4">
            <w:pPr>
              <w:pStyle w:val="a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населения;</w:t>
            </w:r>
          </w:p>
          <w:p w:rsidR="00521C9A" w:rsidRPr="00521C9A" w:rsidRDefault="00521C9A" w:rsidP="00F63BE4">
            <w:pPr>
              <w:pStyle w:val="a6"/>
              <w:jc w:val="both"/>
              <w:rPr>
                <w:rFonts w:eastAsia="Arial Unicode MS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21C9A" w:rsidRPr="00521C9A" w:rsidRDefault="00521C9A" w:rsidP="002E67A1">
            <w:pPr>
              <w:pStyle w:val="a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- 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      </w:r>
          </w:p>
          <w:p w:rsidR="00521C9A" w:rsidRPr="00521C9A" w:rsidRDefault="002E67A1" w:rsidP="002E67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1C9A" w:rsidRPr="00521C9A">
              <w:rPr>
                <w:rFonts w:ascii="Times New Roman" w:hAnsi="Times New Roman" w:cs="Times New Roman"/>
                <w:sz w:val="24"/>
                <w:szCs w:val="24"/>
              </w:rPr>
              <w:t>профилактика межнациональных и межконфессиональных конфликтов;</w:t>
            </w:r>
          </w:p>
          <w:p w:rsidR="00521C9A" w:rsidRPr="00521C9A" w:rsidRDefault="00521C9A" w:rsidP="002E67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- информирование и просвещение жителей города о существующих национальных обычаях, традициях, культурах и религиях;</w:t>
            </w:r>
          </w:p>
          <w:p w:rsidR="00521C9A" w:rsidRPr="00142363" w:rsidRDefault="00521C9A" w:rsidP="002E67A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различных форм общественного участия и контроля.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521C9A" w:rsidRPr="00521C9A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укрепление межнационального и межконфессионального единства среди жителей города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C9A" w:rsidRPr="00521C9A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C9A" w:rsidRPr="00521C9A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мероприятий, направленных на социально-культурную адаптацию мигрантов в городе Переславле-Залесском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C9A" w:rsidRPr="00521C9A" w:rsidRDefault="00521C9A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>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C9A" w:rsidTr="005B0DDE">
        <w:tc>
          <w:tcPr>
            <w:tcW w:w="3544" w:type="dxa"/>
          </w:tcPr>
          <w:p w:rsidR="00521C9A" w:rsidRPr="00142363" w:rsidRDefault="005B0DDE" w:rsidP="00F63BE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7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521C9A" w:rsidRPr="006F7139" w:rsidRDefault="00521C9A" w:rsidP="005B0DDE">
            <w:pPr>
              <w:pStyle w:val="a6"/>
              <w:jc w:val="both"/>
            </w:pP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25.12.2017 № ПОС.03-1853/17 </w:t>
            </w:r>
            <w:r w:rsidR="005B0DDE" w:rsidRPr="006F71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 w:rsidR="005B0DDE" w:rsidRPr="006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в городе</w:t>
            </w:r>
            <w:r w:rsidR="005B0DDE" w:rsidRPr="006F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Переславле-Залесском» на 2018 – 2020 годы</w:t>
            </w:r>
            <w:r w:rsidR="005B0DDE" w:rsidRPr="006F7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0FB0" w:rsidRPr="00142363" w:rsidRDefault="00000FB0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FB0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41591"/>
    <w:rsid w:val="00060F0A"/>
    <w:rsid w:val="00063524"/>
    <w:rsid w:val="000A3201"/>
    <w:rsid w:val="000B0C14"/>
    <w:rsid w:val="000F1FE6"/>
    <w:rsid w:val="000F6246"/>
    <w:rsid w:val="0011211F"/>
    <w:rsid w:val="00142363"/>
    <w:rsid w:val="001476B0"/>
    <w:rsid w:val="00153724"/>
    <w:rsid w:val="0019307C"/>
    <w:rsid w:val="00193A8B"/>
    <w:rsid w:val="001D36A5"/>
    <w:rsid w:val="00207F83"/>
    <w:rsid w:val="002274A6"/>
    <w:rsid w:val="00292582"/>
    <w:rsid w:val="002A7629"/>
    <w:rsid w:val="002E67A1"/>
    <w:rsid w:val="00340F48"/>
    <w:rsid w:val="0036499D"/>
    <w:rsid w:val="003C6A70"/>
    <w:rsid w:val="00415570"/>
    <w:rsid w:val="0042683C"/>
    <w:rsid w:val="00437E56"/>
    <w:rsid w:val="00483694"/>
    <w:rsid w:val="00492FE9"/>
    <w:rsid w:val="004F734E"/>
    <w:rsid w:val="00521C9A"/>
    <w:rsid w:val="00562649"/>
    <w:rsid w:val="005B0DDE"/>
    <w:rsid w:val="005C2090"/>
    <w:rsid w:val="00613F5A"/>
    <w:rsid w:val="00621426"/>
    <w:rsid w:val="00645A0E"/>
    <w:rsid w:val="00666C7A"/>
    <w:rsid w:val="00682A6F"/>
    <w:rsid w:val="00684C11"/>
    <w:rsid w:val="006F6346"/>
    <w:rsid w:val="006F7139"/>
    <w:rsid w:val="0073504F"/>
    <w:rsid w:val="007566DC"/>
    <w:rsid w:val="007770BD"/>
    <w:rsid w:val="00794E29"/>
    <w:rsid w:val="007B2307"/>
    <w:rsid w:val="008106B3"/>
    <w:rsid w:val="0081413E"/>
    <w:rsid w:val="008317E7"/>
    <w:rsid w:val="00885038"/>
    <w:rsid w:val="008E7046"/>
    <w:rsid w:val="00903C0E"/>
    <w:rsid w:val="00950F14"/>
    <w:rsid w:val="0095246E"/>
    <w:rsid w:val="00956AC1"/>
    <w:rsid w:val="009643C8"/>
    <w:rsid w:val="009D264F"/>
    <w:rsid w:val="009E7162"/>
    <w:rsid w:val="00A11AD0"/>
    <w:rsid w:val="00A13EB1"/>
    <w:rsid w:val="00A52B65"/>
    <w:rsid w:val="00A6321B"/>
    <w:rsid w:val="00A92384"/>
    <w:rsid w:val="00AD7BD7"/>
    <w:rsid w:val="00AE3ACA"/>
    <w:rsid w:val="00B04CB0"/>
    <w:rsid w:val="00B3603B"/>
    <w:rsid w:val="00B46722"/>
    <w:rsid w:val="00B703CC"/>
    <w:rsid w:val="00B95312"/>
    <w:rsid w:val="00BC13E5"/>
    <w:rsid w:val="00BD337F"/>
    <w:rsid w:val="00BD7654"/>
    <w:rsid w:val="00BE6471"/>
    <w:rsid w:val="00C026E9"/>
    <w:rsid w:val="00C6203F"/>
    <w:rsid w:val="00CA6833"/>
    <w:rsid w:val="00CB6E8C"/>
    <w:rsid w:val="00CC60BC"/>
    <w:rsid w:val="00D01691"/>
    <w:rsid w:val="00D12547"/>
    <w:rsid w:val="00D265C2"/>
    <w:rsid w:val="00D33FC7"/>
    <w:rsid w:val="00D56531"/>
    <w:rsid w:val="00D80C47"/>
    <w:rsid w:val="00DD2C16"/>
    <w:rsid w:val="00E069A1"/>
    <w:rsid w:val="00E65240"/>
    <w:rsid w:val="00E6725C"/>
    <w:rsid w:val="00EC12B2"/>
    <w:rsid w:val="00EC4687"/>
    <w:rsid w:val="00F034DB"/>
    <w:rsid w:val="00F05EA2"/>
    <w:rsid w:val="00F26ECC"/>
    <w:rsid w:val="00F34E7A"/>
    <w:rsid w:val="00F63BE4"/>
    <w:rsid w:val="00F9559C"/>
    <w:rsid w:val="00F968D6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9E0B-7453-4F2E-97A5-F3F73AEA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20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84</cp:revision>
  <cp:lastPrinted>2019-03-27T05:23:00Z</cp:lastPrinted>
  <dcterms:created xsi:type="dcterms:W3CDTF">2019-03-12T08:03:00Z</dcterms:created>
  <dcterms:modified xsi:type="dcterms:W3CDTF">2019-03-27T11:00:00Z</dcterms:modified>
</cp:coreProperties>
</file>