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6" w:rsidRPr="00CC3641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:rsidR="009E6516" w:rsidRDefault="009E6516" w:rsidP="006A4231">
      <w:pPr>
        <w:widowControl w:val="0"/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:rsidR="00BB583E" w:rsidRPr="00BB583E" w:rsidRDefault="00BB583E" w:rsidP="00BB583E">
      <w:pPr>
        <w:spacing w:after="0" w:line="240" w:lineRule="auto"/>
        <w:ind w:left="5387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B583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20.11.2023  № ПОС.03-2962/23</w:t>
      </w:r>
    </w:p>
    <w:p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города Переславля-Залесского </w:t>
      </w:r>
      <w:r w:rsidR="00BB583E" w:rsidRPr="00BB583E">
        <w:rPr>
          <w:rFonts w:ascii="Times New Roman" w:hAnsi="Times New Roman" w:cs="Times New Roman"/>
          <w:bCs/>
          <w:sz w:val="26"/>
          <w:szCs w:val="26"/>
        </w:rPr>
        <w:t>от 20.11.2023  № ПОС.03-2962/23</w:t>
      </w:r>
      <w:r w:rsidR="00BB58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BA1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6A42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:rsidR="006A4231" w:rsidRDefault="006A4231" w:rsidP="006A4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330,4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Купанское, ул. Комсомольская, д. 1б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200101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6A4231" w:rsidRPr="00E45B22" w:rsidRDefault="006A4231" w:rsidP="006A42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Переславский, с/о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с. Купанское, ул. Комсомольская, д. 1-б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200110:120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:rsidR="006A4231" w:rsidRDefault="006A4231" w:rsidP="006A4231">
      <w:pPr>
        <w:tabs>
          <w:tab w:val="left" w:pos="-41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gramStart"/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санитарно-защитная зона для швейного производства ООО «ТК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МирЛайт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>»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2, решение Главного государственного санитарного врача по Ярославской области от 19.08.2019 № 31).</w:t>
      </w:r>
      <w:proofErr w:type="gramEnd"/>
    </w:p>
    <w:p w:rsidR="006A4231" w:rsidRPr="00BB7F4C" w:rsidRDefault="006A4231" w:rsidP="006A4231">
      <w:pPr>
        <w:tabs>
          <w:tab w:val="left" w:pos="-411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санитарно-защитной зоне не допускается размещать: жилую застройку, включая отдельные жилые дома, ландшафтно-реакреационные зоны, зоны отдыха,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 (СанПиН 2.2.1 /2.1.1.1200-03 «Санитарно-защитные зоны и санитарная классификация предприятий, сооружений и иных объектов»). </w:t>
      </w:r>
    </w:p>
    <w:p w:rsidR="008B1232" w:rsidRDefault="008B1232" w:rsidP="008B1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природного характера. </w:t>
      </w:r>
    </w:p>
    <w:p w:rsidR="006A4231" w:rsidRDefault="006A4231" w:rsidP="008B1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1232" w:rsidRPr="008B1232" w:rsidRDefault="008B1232" w:rsidP="008B123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CC17B8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6A4231">
        <w:rPr>
          <w:rFonts w:ascii="Times New Roman" w:hAnsi="Times New Roman" w:cs="Times New Roman"/>
          <w:b/>
          <w:bCs/>
          <w:sz w:val="26"/>
          <w:szCs w:val="26"/>
        </w:rPr>
        <w:t xml:space="preserve"> 25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</w:t>
      </w:r>
      <w:r w:rsidR="006A4231">
        <w:rPr>
          <w:rFonts w:ascii="Times New Roman" w:hAnsi="Times New Roman" w:cs="Times New Roman"/>
          <w:b/>
          <w:sz w:val="26"/>
          <w:szCs w:val="26"/>
        </w:rPr>
        <w:t>2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6A42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6A423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6A4231">
        <w:rPr>
          <w:b/>
          <w:sz w:val="26"/>
          <w:szCs w:val="26"/>
        </w:rPr>
        <w:t xml:space="preserve"> 25.12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eastAsia="ru-RU"/>
        </w:rPr>
        <w:t>3</w:t>
      </w:r>
      <w:r w:rsidRPr="009E6516">
        <w:rPr>
          <w:sz w:val="26"/>
          <w:szCs w:val="26"/>
        </w:rPr>
        <w:t>,</w:t>
      </w:r>
      <w:r w:rsidR="006A4231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:rsidR="006A4231" w:rsidRPr="0024736E" w:rsidRDefault="006A4231" w:rsidP="006A4231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proofErr w:type="gramStart"/>
      <w:r w:rsidRPr="006A42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1 927 468,00</w:t>
      </w:r>
      <w:r w:rsidRPr="006A42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(Один миллион девятьсот двадцать семь тысяч четыреста</w:t>
      </w:r>
      <w:proofErr w:type="gramEnd"/>
      <w:r w:rsidRPr="006A42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шестьдесят восемь) рублей 00 копеек</w:t>
      </w:r>
      <w:r w:rsidRPr="00633F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1 405 568,00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миллион четыреста пять тысяч пятьсот шестьдесят восемь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>, с учетом НДС 20%,</w:t>
      </w: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земельный участок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521 900, 00 </w:t>
      </w: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 двадцать одна тысяча девятьсот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НДС не облагается.</w:t>
      </w:r>
    </w:p>
    <w:p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:rsidR="008A2717" w:rsidRPr="009E6516" w:rsidRDefault="00750790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192 746,8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девяносто две тысячи семьсот сорок шесть тысяч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lastRenderedPageBreak/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:rsidR="007B6BC0" w:rsidRPr="00617C4C" w:rsidRDefault="002903E8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96 373,4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Девяносто шесть тысяч триста семьдесят три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 4</w:t>
      </w:r>
      <w:r w:rsidR="008B1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CC6E6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 о проведен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CC17B8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CC6E62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CC6E62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CC6E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CC6E62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CC6E62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:rsidR="007E5B7A" w:rsidRPr="00706C73" w:rsidRDefault="00CC6E62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:rsidR="007E5B7A" w:rsidRPr="00706C73" w:rsidRDefault="00CC6E62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21.12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CC6E62">
        <w:rPr>
          <w:rFonts w:ascii="Times New Roman" w:hAnsi="Times New Roman" w:cs="Times New Roman"/>
          <w:b/>
          <w:sz w:val="26"/>
          <w:szCs w:val="26"/>
        </w:rPr>
        <w:t>22.12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="00237E57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lastRenderedPageBreak/>
        <w:t>Юридические лица: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237E57" w:rsidRDefault="00237E57" w:rsidP="00237E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</w:t>
      </w:r>
      <w:proofErr w:type="gramStart"/>
      <w:r w:rsidRPr="0044787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47871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</w:t>
      </w:r>
      <w:r w:rsidRPr="00D03B0C">
        <w:rPr>
          <w:rFonts w:ascii="Times New Roman" w:hAnsi="Times New Roman" w:cs="Times New Roman"/>
          <w:sz w:val="26"/>
          <w:szCs w:val="26"/>
        </w:rPr>
        <w:lastRenderedPageBreak/>
        <w:t>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прекращает блокирование в отношении денежных средств участников, не сделавших предложения о цене в ходе торговой сессии по лоту,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Факт оплаты покупателем приобретаемого имущества подтверждается выпиской со счета, указанного в настоящем информационном сообщении,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подтверждающей поступление денежных средств в размере и сроки, предусмотренные договором купли-продажи имущества.</w:t>
      </w:r>
    </w:p>
    <w:p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71EFD" w:rsidRDefault="00871EF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="00CC17B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CC6978"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871EFD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подтверждает,что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33D97"/>
    <w:multiLevelType w:val="hybridMultilevel"/>
    <w:tmpl w:val="60144FB0"/>
    <w:lvl w:ilvl="0" w:tplc="80F47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37E57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03E8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168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39C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0722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423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790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1EFD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232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D5BE9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1D3F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583E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7B8"/>
    <w:rsid w:val="00CC18B6"/>
    <w:rsid w:val="00CC199E"/>
    <w:rsid w:val="00CC334B"/>
    <w:rsid w:val="00CC4947"/>
    <w:rsid w:val="00CC56D8"/>
    <w:rsid w:val="00CC6978"/>
    <w:rsid w:val="00CC6E62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50E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98B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D27B-275B-47EF-973C-78CED7C4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13</Pages>
  <Words>5188</Words>
  <Characters>29573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517</cp:revision>
  <cp:lastPrinted>2023-08-21T10:00:00Z</cp:lastPrinted>
  <dcterms:created xsi:type="dcterms:W3CDTF">2021-11-22T13:04:00Z</dcterms:created>
  <dcterms:modified xsi:type="dcterms:W3CDTF">2023-11-20T10:51:00Z</dcterms:modified>
</cp:coreProperties>
</file>