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23" w:rsidRPr="002F7A88" w:rsidRDefault="000B3B23" w:rsidP="000B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0B3B23" w:rsidRPr="002F7A88" w:rsidRDefault="000B3B23" w:rsidP="000B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0B3B23" w:rsidRPr="00F51318" w:rsidRDefault="000B3B23" w:rsidP="000B3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1A0887">
        <w:rPr>
          <w:rFonts w:ascii="Times New Roman" w:eastAsia="Times New Roman" w:hAnsi="Times New Roman"/>
          <w:sz w:val="24"/>
          <w:szCs w:val="24"/>
          <w:lang w:eastAsia="ru-RU"/>
        </w:rPr>
        <w:t>12.05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 xml:space="preserve"> г.                                                         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город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 Переславль-Залесский</w:t>
      </w:r>
    </w:p>
    <w:p w:rsidR="000B3B23" w:rsidRPr="00F51318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B23" w:rsidRPr="00F51318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0B3B23" w:rsidRPr="008200EB" w:rsidRDefault="000B3B23" w:rsidP="000B3B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0B3B23" w:rsidRPr="008200EB" w:rsidTr="00BD63EE">
        <w:trPr>
          <w:trHeight w:val="794"/>
        </w:trPr>
        <w:tc>
          <w:tcPr>
            <w:tcW w:w="3831" w:type="dxa"/>
          </w:tcPr>
          <w:p w:rsidR="000B3B23" w:rsidRPr="008200EB" w:rsidRDefault="00217A3A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Н.Л.</w:t>
            </w:r>
          </w:p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B3B23" w:rsidRPr="008200EB" w:rsidRDefault="005675B2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</w:t>
            </w:r>
            <w:r w:rsidR="000B3B23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муниципальной </w:t>
            </w:r>
            <w:r w:rsidR="0021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 Администрации города</w:t>
            </w:r>
            <w:r w:rsidR="000B3B23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 – Залесского</w:t>
            </w:r>
          </w:p>
        </w:tc>
      </w:tr>
      <w:tr w:rsidR="000B3B23" w:rsidRPr="008200EB" w:rsidTr="00BD63EE">
        <w:trPr>
          <w:trHeight w:val="780"/>
        </w:trPr>
        <w:tc>
          <w:tcPr>
            <w:tcW w:w="3831" w:type="dxa"/>
          </w:tcPr>
          <w:p w:rsidR="000B3B23" w:rsidRPr="008200EB" w:rsidRDefault="000B3B23" w:rsidP="00BD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0B3B23" w:rsidRPr="008200EB" w:rsidRDefault="000B3B23" w:rsidP="00BD63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B23" w:rsidRPr="008200EB" w:rsidTr="00BD63EE">
        <w:trPr>
          <w:trHeight w:val="780"/>
        </w:trPr>
        <w:tc>
          <w:tcPr>
            <w:tcW w:w="3831" w:type="dxa"/>
          </w:tcPr>
          <w:p w:rsidR="000B3B23" w:rsidRPr="000B3B23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у</w:t>
            </w:r>
            <w:r w:rsidR="00567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земельными ресурсами У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муниципально</w:t>
            </w:r>
            <w:r w:rsidR="0021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собственности Администрации города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Переславля-Залесского </w:t>
            </w:r>
          </w:p>
        </w:tc>
      </w:tr>
      <w:tr w:rsidR="000B3B23" w:rsidRPr="008200EB" w:rsidTr="00BD63EE">
        <w:trPr>
          <w:trHeight w:val="615"/>
        </w:trPr>
        <w:tc>
          <w:tcPr>
            <w:tcW w:w="3831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316"/>
      </w:tblGrid>
      <w:tr w:rsidR="00161203" w:rsidRPr="001636BA" w:rsidTr="00161203">
        <w:tc>
          <w:tcPr>
            <w:tcW w:w="3039" w:type="dxa"/>
          </w:tcPr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Нюнина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675B2">
              <w:rPr>
                <w:rFonts w:ascii="Times New Roman" w:hAnsi="Times New Roman"/>
                <w:sz w:val="24"/>
                <w:szCs w:val="24"/>
              </w:rPr>
              <w:t xml:space="preserve"> отдела бухгалтерского учета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Переславля–Залесского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03" w:rsidRPr="001636BA" w:rsidTr="00161203">
        <w:tc>
          <w:tcPr>
            <w:tcW w:w="3039" w:type="dxa"/>
          </w:tcPr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Нежинский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6316" w:type="dxa"/>
          </w:tcPr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ведущий специалист отдела управления земельными ресурсами</w:t>
            </w:r>
            <w:r w:rsidR="005675B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консуль</w:t>
            </w:r>
            <w:r w:rsidR="005675B2">
              <w:rPr>
                <w:rFonts w:ascii="Times New Roman" w:hAnsi="Times New Roman"/>
                <w:sz w:val="24"/>
                <w:szCs w:val="24"/>
              </w:rPr>
              <w:t>тант-юрист юридического отдела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203" w:rsidRDefault="00161203" w:rsidP="000B3B23">
      <w:p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B3B23" w:rsidRDefault="000B3B23" w:rsidP="000B3B23">
      <w:pP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F513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: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№ 1: Ярославская область, городской округ город Переславль-Залесский, </w:t>
      </w:r>
      <w:r>
        <w:rPr>
          <w:rFonts w:ascii="Times New Roman" w:eastAsiaTheme="minorHAnsi" w:hAnsi="Times New Roman"/>
          <w:b/>
          <w:sz w:val="24"/>
          <w:szCs w:val="24"/>
        </w:rPr>
        <w:t>город Переславль-Залесский, улица Садовая, возле дома 14,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i/>
          <w:sz w:val="24"/>
          <w:szCs w:val="24"/>
        </w:rPr>
        <w:t>торговая  галерея</w:t>
      </w:r>
      <w:proofErr w:type="gramEnd"/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>
        <w:rPr>
          <w:rFonts w:ascii="Times New Roman" w:eastAsiaTheme="minorHAnsi" w:hAnsi="Times New Roman"/>
          <w:i/>
          <w:sz w:val="24"/>
          <w:szCs w:val="24"/>
        </w:rPr>
        <w:t>торговля сувенирами и изделиями народных промыслов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80 </w:t>
      </w:r>
      <w:proofErr w:type="spellStart"/>
      <w:r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7 лет</w:t>
      </w:r>
    </w:p>
    <w:p w:rsidR="001A0887" w:rsidRDefault="001A0887" w:rsidP="001A08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  <w:sz w:val="24"/>
          <w:szCs w:val="24"/>
        </w:rPr>
        <w:t xml:space="preserve">Место размещения нестационарного торгового объекта находится в границах зоны </w:t>
      </w:r>
      <w:r>
        <w:rPr>
          <w:rFonts w:ascii="Times New Roman" w:eastAsiaTheme="minorHAnsi" w:hAnsi="Times New Roman"/>
        </w:rPr>
        <w:t xml:space="preserve">культурного наследия "Культурный слой", XII - XVII вв. (Ярославская область, г. Переславль-Залесский, центр города, ограниченный улицами Кузнецова, Трудовой, Малой Протечной, </w:t>
      </w:r>
      <w:proofErr w:type="spellStart"/>
      <w:r>
        <w:rPr>
          <w:rFonts w:ascii="Times New Roman" w:eastAsiaTheme="minorHAnsi" w:hAnsi="Times New Roman"/>
        </w:rPr>
        <w:t>Кардовского</w:t>
      </w:r>
      <w:proofErr w:type="spellEnd"/>
      <w:r>
        <w:rPr>
          <w:rFonts w:ascii="Times New Roman" w:eastAsiaTheme="minorHAnsi" w:hAnsi="Times New Roman"/>
        </w:rPr>
        <w:t xml:space="preserve"> и Ветеринарным пер.)</w:t>
      </w:r>
    </w:p>
    <w:p w:rsidR="001A0887" w:rsidRDefault="001A0887" w:rsidP="001A0887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Учитывая данную информацию, при осуществлении на объекте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</w:t>
      </w:r>
      <w:r>
        <w:rPr>
          <w:rFonts w:ascii="Times New Roman" w:hAnsi="Times New Roman"/>
        </w:rPr>
        <w:t xml:space="preserve">подпунктом д) пункта 11.1, пунктом 11.3 Положения о государственной историко-культурной экспертизе, утвержденного постановлением Правительства Российской Федерации от 15.07.2009 № 569, </w:t>
      </w:r>
      <w:r>
        <w:rPr>
          <w:rFonts w:ascii="Times New Roman" w:hAnsi="Times New Roman"/>
          <w:lang w:eastAsia="ru-RU"/>
        </w:rPr>
        <w:t xml:space="preserve">необходимо провести государственную историко-культурную экспертизу </w:t>
      </w:r>
      <w:r>
        <w:rPr>
          <w:rFonts w:ascii="Times New Roman" w:hAnsi="Times New Roman"/>
          <w:lang w:eastAsia="ru-RU"/>
        </w:rPr>
        <w:lastRenderedPageBreak/>
        <w:t>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>
        <w:rPr>
          <w:rFonts w:ascii="Times New Roman" w:eastAsiaTheme="minorHAnsi" w:hAnsi="Times New Roman"/>
          <w:i/>
          <w:sz w:val="24"/>
          <w:szCs w:val="24"/>
        </w:rPr>
        <w:t>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№ 2: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Строителей, возле дома 41,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автоцистерна;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квас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с 1 июня 2021г. по 1 октября 2021г.;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3: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улица Свободы, возле дома 64А,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автоцистерна;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квас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с 1 июня 2021г. по 1 октября 2021г.;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4: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город Переславль-Залесский, улица Свободы, возле дома 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автоцистерна;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квас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с 1 июня 2021г. по 1 октября 2021г.;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5: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 город Переславль-Залесский, улица Московская, возле дома 113Б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автоцистерна;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квас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с 1 июня 2021г. по 1 октября 2021г.;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6: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Ярославская область, городской округ город Переславль-Залесский, </w:t>
      </w:r>
      <w:proofErr w:type="spellStart"/>
      <w:r>
        <w:rPr>
          <w:rFonts w:ascii="Times New Roman" w:eastAsiaTheme="minorHAnsi" w:hAnsi="Times New Roman"/>
          <w:b/>
          <w:snapToGrid w:val="0"/>
          <w:sz w:val="24"/>
          <w:szCs w:val="24"/>
        </w:rPr>
        <w:t>Глебовский</w:t>
      </w:r>
      <w:proofErr w:type="spellEnd"/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 сельский округ, село </w:t>
      </w:r>
      <w:proofErr w:type="spellStart"/>
      <w:r>
        <w:rPr>
          <w:rFonts w:ascii="Times New Roman" w:eastAsiaTheme="minorHAnsi" w:hAnsi="Times New Roman"/>
          <w:b/>
          <w:snapToGrid w:val="0"/>
          <w:sz w:val="24"/>
          <w:szCs w:val="24"/>
        </w:rPr>
        <w:t>Глебовское</w:t>
      </w:r>
      <w:proofErr w:type="spellEnd"/>
      <w:r>
        <w:rPr>
          <w:rFonts w:ascii="Times New Roman" w:eastAsiaTheme="minorHAnsi" w:hAnsi="Times New Roman"/>
          <w:b/>
          <w:snapToGrid w:val="0"/>
          <w:sz w:val="24"/>
          <w:szCs w:val="24"/>
        </w:rPr>
        <w:t>, улица Центральная, напротив дома 101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автолавка;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и непродовольственные товары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срок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7: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Ярославская область, </w:t>
      </w:r>
      <w:proofErr w:type="spellStart"/>
      <w:r>
        <w:rPr>
          <w:rFonts w:ascii="Times New Roman" w:eastAsiaTheme="minorHAnsi" w:hAnsi="Times New Roman"/>
          <w:b/>
          <w:snapToGrid w:val="0"/>
          <w:sz w:val="24"/>
          <w:szCs w:val="24"/>
        </w:rPr>
        <w:t>Нагорьевский</w:t>
      </w:r>
      <w:proofErr w:type="spellEnd"/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 сельский округ, село Нагорье, улица Кооперативная, возле дома 5А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киоск;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срок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1A0887" w:rsidRDefault="001A0887" w:rsidP="001A088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8:</w:t>
      </w:r>
      <w:r>
        <w:rPr>
          <w:rFonts w:asciiTheme="minorHAnsi" w:eastAsiaTheme="minorHAnsi" w:hAnsiTheme="minorHAnsi" w:cstheme="minorBidi"/>
        </w:rPr>
        <w:t xml:space="preserve"> </w:t>
      </w:r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Ярославская область, </w:t>
      </w:r>
      <w:proofErr w:type="spellStart"/>
      <w:r>
        <w:rPr>
          <w:rFonts w:ascii="Times New Roman" w:eastAsiaTheme="minorHAnsi" w:hAnsi="Times New Roman"/>
          <w:b/>
          <w:snapToGrid w:val="0"/>
          <w:sz w:val="24"/>
          <w:szCs w:val="24"/>
        </w:rPr>
        <w:t>Нагорьевский</w:t>
      </w:r>
      <w:proofErr w:type="spellEnd"/>
      <w:r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 сельский округ, село Нагорье, улица Кооперативная, возле дома 5А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тип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>
        <w:rPr>
          <w:rFonts w:ascii="Times New Roman" w:hAnsi="Times New Roman"/>
          <w:snapToGrid w:val="0"/>
          <w:sz w:val="24"/>
          <w:szCs w:val="24"/>
        </w:rPr>
        <w:t xml:space="preserve">торгового объекта – торговая киоск;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непродовольственные товары</w:t>
      </w:r>
      <w:r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срок размещения объекта – </w:t>
      </w:r>
      <w:r>
        <w:rPr>
          <w:rFonts w:ascii="Times New Roman" w:eastAsiaTheme="minorHAnsi" w:hAnsi="Times New Roman"/>
          <w:i/>
          <w:sz w:val="24"/>
          <w:szCs w:val="24"/>
        </w:rPr>
        <w:t>7 лет.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7E1D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Комиссия установила, что по окончании срока подачи заявок на участие в аукционе подано</w:t>
      </w:r>
      <w:r w:rsidR="00987E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A0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</w:t>
      </w:r>
      <w:r w:rsidR="001A0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заявк</w:t>
      </w:r>
      <w:r w:rsidR="001A0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 по Лоту 1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</w:t>
      </w:r>
      <w:r w:rsidR="001A0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следующих 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заявител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ей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B23" w:rsidRPr="001A0887" w:rsidRDefault="001A0887" w:rsidP="001A0887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Хабибулин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A08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 Сергеевич</w:t>
      </w:r>
      <w:r w:rsidRPr="001A0887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="000D05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</w:t>
      </w:r>
      <w:proofErr w:type="spellStart"/>
      <w:r w:rsidR="000D05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даннаы</w:t>
      </w:r>
      <w:proofErr w:type="spellEnd"/>
      <w:r w:rsidR="000D05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скрыты) 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26.04.2021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30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141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 Задаток в сумме </w:t>
      </w:r>
      <w:r>
        <w:rPr>
          <w:rFonts w:ascii="Times New Roman" w:hAnsi="Times New Roman"/>
          <w:b/>
          <w:sz w:val="24"/>
          <w:szCs w:val="24"/>
        </w:rPr>
        <w:t>39 051 (Тридцать девять тысяч пятьдесят один) рубль 20 копеек</w:t>
      </w:r>
      <w:r w:rsidRPr="001A08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26.04.2021</w:t>
      </w:r>
      <w:r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</w:p>
    <w:p w:rsidR="001A0887" w:rsidRPr="00AB402E" w:rsidRDefault="001A0887" w:rsidP="00AB402E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Индивидуальный предприниматель Сергеев Сергей Алексеевич, </w:t>
      </w:r>
      <w:r w:rsidR="000D05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скрыты)</w:t>
      </w:r>
      <w:r w:rsidR="00AB402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27.04.2021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15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</w:t>
      </w:r>
      <w:r w:rsid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10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142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 Задаток в сумме </w:t>
      </w:r>
      <w:r w:rsidR="00AB402E">
        <w:rPr>
          <w:rFonts w:ascii="Times New Roman" w:hAnsi="Times New Roman"/>
          <w:b/>
          <w:sz w:val="24"/>
          <w:szCs w:val="24"/>
        </w:rPr>
        <w:t>39 051 (Тридцать девять тысяч пятьдесят один) рубль 20 копеек</w:t>
      </w:r>
      <w:r w:rsidR="00AB402E" w:rsidRPr="001A08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26.04.2021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</w:p>
    <w:p w:rsidR="00AB402E" w:rsidRPr="00AB402E" w:rsidRDefault="00B732D5" w:rsidP="00AB402E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B4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 предприниматель Сорокин Сергей Павлович</w:t>
      </w:r>
      <w:r w:rsidR="00AB402E" w:rsidRPr="00AB402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="000D055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скрыты)</w:t>
      </w:r>
      <w:bookmarkStart w:id="0" w:name="_GoBack"/>
      <w:bookmarkEnd w:id="0"/>
      <w:r w:rsidR="00967F6F" w:rsidRPr="00AB402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967F6F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AB402E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30.04</w:t>
      </w:r>
      <w:r w:rsidR="00967F6F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  <w:r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2021</w:t>
      </w:r>
      <w:r w:rsidR="00967F6F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AB402E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11</w:t>
      </w:r>
      <w:r w:rsidR="00967F6F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 </w:t>
      </w:r>
      <w:r w:rsidR="00AB402E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55</w:t>
      </w:r>
      <w:r w:rsidR="00967F6F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AB402E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142</w:t>
      </w:r>
      <w:r w:rsidR="00967F6F" w:rsidRP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Задаток в сумме </w:t>
      </w:r>
      <w:r w:rsidR="00AB402E">
        <w:rPr>
          <w:rFonts w:ascii="Times New Roman" w:hAnsi="Times New Roman"/>
          <w:b/>
          <w:sz w:val="24"/>
          <w:szCs w:val="24"/>
        </w:rPr>
        <w:t>39 051 (Тридцать девять тысяч пятьдесят один) рубль 20 копеек</w:t>
      </w:r>
      <w:r w:rsidR="00AB402E" w:rsidRPr="001A0887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AB402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29.04.2021</w:t>
      </w:r>
      <w:r w:rsidR="00AB402E" w:rsidRPr="001A0887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</w:p>
    <w:p w:rsidR="000B3B23" w:rsidRDefault="000B3B23" w:rsidP="00AB402E">
      <w:pPr>
        <w:pStyle w:val="a5"/>
        <w:widowControl w:val="0"/>
        <w:spacing w:after="0" w:line="240" w:lineRule="auto"/>
        <w:ind w:left="927"/>
        <w:jc w:val="both"/>
      </w:pPr>
    </w:p>
    <w:p w:rsidR="001A0887" w:rsidRDefault="001A0887" w:rsidP="001A088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По окончании срока подачи заявок по лотам 2-8 на участие в аукционе не подано ни одной заявки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A0887" w:rsidRDefault="001A0887" w:rsidP="001A0887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26AA" w:rsidRPr="000D35C8" w:rsidRDefault="000926AA" w:rsidP="000B3B2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B23" w:rsidRPr="000D35C8" w:rsidRDefault="000B3B23" w:rsidP="000B3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0B3B23" w:rsidRPr="000D35C8" w:rsidRDefault="000B3B23" w:rsidP="000B3B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ab/>
        <w:t>Отклоненных заявок: НЕТ.</w:t>
      </w:r>
    </w:p>
    <w:p w:rsidR="000B3B23" w:rsidRPr="000D35C8" w:rsidRDefault="000B3B23" w:rsidP="000B3B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3B23" w:rsidRPr="000D35C8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3B23" w:rsidRPr="000D35C8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D35C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0B3B23" w:rsidRPr="000D35C8" w:rsidRDefault="000B3B23" w:rsidP="00BD7AC3">
      <w:pPr>
        <w:contextualSpacing/>
        <w:jc w:val="both"/>
      </w:pPr>
    </w:p>
    <w:p w:rsidR="0065493B" w:rsidRPr="0065493B" w:rsidRDefault="0065493B" w:rsidP="0065493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9B0" w:rsidRPr="0065493B" w:rsidRDefault="007A49B0" w:rsidP="006549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93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54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Лоту </w:t>
      </w:r>
      <w:r w:rsidR="00BD7AC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5493B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допустить к участию в аукционе и признать участниками аукциона, назначенного на </w:t>
      </w:r>
      <w:r w:rsidR="00AB402E">
        <w:rPr>
          <w:rFonts w:ascii="Times New Roman" w:eastAsia="Times New Roman" w:hAnsi="Times New Roman"/>
          <w:b/>
          <w:sz w:val="24"/>
          <w:szCs w:val="24"/>
          <w:lang w:eastAsia="ru-RU"/>
        </w:rPr>
        <w:t>13.05</w:t>
      </w:r>
      <w:r w:rsidR="00DE3AB4">
        <w:rPr>
          <w:rFonts w:ascii="Times New Roman" w:eastAsia="Times New Roman" w:hAnsi="Times New Roman"/>
          <w:b/>
          <w:sz w:val="24"/>
          <w:szCs w:val="24"/>
          <w:lang w:eastAsia="ru-RU"/>
        </w:rPr>
        <w:t>.2021</w:t>
      </w:r>
      <w:r w:rsidRPr="00654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925CE9" w:rsidRPr="0065493B">
        <w:rPr>
          <w:rFonts w:ascii="Times New Roman" w:hAnsi="Times New Roman"/>
          <w:b/>
          <w:bCs/>
          <w:sz w:val="24"/>
          <w:szCs w:val="24"/>
        </w:rPr>
        <w:t>10</w:t>
      </w:r>
      <w:r w:rsidRPr="0065493B">
        <w:rPr>
          <w:rFonts w:ascii="Times New Roman" w:hAnsi="Times New Roman"/>
          <w:b/>
          <w:bCs/>
          <w:sz w:val="24"/>
          <w:szCs w:val="24"/>
        </w:rPr>
        <w:t xml:space="preserve"> час. </w:t>
      </w:r>
      <w:r w:rsidR="00925CE9" w:rsidRPr="0065493B">
        <w:rPr>
          <w:rFonts w:ascii="Times New Roman" w:hAnsi="Times New Roman"/>
          <w:b/>
          <w:bCs/>
          <w:sz w:val="24"/>
          <w:szCs w:val="24"/>
        </w:rPr>
        <w:t>0</w:t>
      </w:r>
      <w:r w:rsidRPr="0065493B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65493B">
        <w:rPr>
          <w:rFonts w:ascii="Times New Roman" w:eastAsia="Times New Roman" w:hAnsi="Times New Roman"/>
          <w:sz w:val="24"/>
          <w:szCs w:val="24"/>
          <w:lang w:eastAsia="ru-RU"/>
        </w:rPr>
        <w:t>следующих претендентов:</w:t>
      </w:r>
    </w:p>
    <w:p w:rsidR="00925CE9" w:rsidRPr="00AB402E" w:rsidRDefault="00925CE9" w:rsidP="00DE3AB4">
      <w:pPr>
        <w:pStyle w:val="a5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</w:pPr>
      <w:r w:rsidRPr="00DE3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AB4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Хабибулина</w:t>
      </w:r>
      <w:proofErr w:type="spellEnd"/>
      <w:r w:rsidR="00AB40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Илью Сергеевича</w:t>
      </w:r>
    </w:p>
    <w:p w:rsidR="00AB402E" w:rsidRPr="00925CE9" w:rsidRDefault="00AB402E" w:rsidP="00DE3AB4">
      <w:pPr>
        <w:pStyle w:val="a5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Сергеева Сергея Павловича</w:t>
      </w:r>
    </w:p>
    <w:p w:rsidR="00A972C5" w:rsidRPr="00AB402E" w:rsidRDefault="00DE3AB4" w:rsidP="00DE3AB4">
      <w:pPr>
        <w:pStyle w:val="a5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</w:pPr>
      <w:r w:rsidRPr="00DE3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Сорокина Сергея Павловича</w:t>
      </w:r>
    </w:p>
    <w:p w:rsidR="00AB402E" w:rsidRDefault="00AB402E" w:rsidP="00AB402E">
      <w:pPr>
        <w:pStyle w:val="a5"/>
        <w:tabs>
          <w:tab w:val="left" w:pos="360"/>
        </w:tabs>
        <w:spacing w:after="0" w:line="240" w:lineRule="auto"/>
        <w:ind w:left="1077"/>
        <w:jc w:val="both"/>
      </w:pPr>
    </w:p>
    <w:p w:rsidR="001A0887" w:rsidRDefault="001A0887" w:rsidP="001A0887">
      <w:pPr>
        <w:pStyle w:val="a5"/>
        <w:numPr>
          <w:ilvl w:val="0"/>
          <w:numId w:val="10"/>
        </w:numPr>
        <w:tabs>
          <w:tab w:val="left" w:pos="851"/>
          <w:tab w:val="left" w:pos="5670"/>
          <w:tab w:val="left" w:pos="737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Признать аукцион несостоявшимся в отношении лотов 2-8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0B3B23" w:rsidRPr="000D35C8" w:rsidRDefault="000B3B23" w:rsidP="000B3B23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B23" w:rsidRPr="000D35C8" w:rsidRDefault="000B3B23" w:rsidP="000B3B23">
      <w:pPr>
        <w:tabs>
          <w:tab w:val="left" w:pos="851"/>
          <w:tab w:val="left" w:pos="5670"/>
          <w:tab w:val="left" w:pos="737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0B3B23" w:rsidRPr="000D35C8" w:rsidTr="00BD63EE">
        <w:tc>
          <w:tcPr>
            <w:tcW w:w="4731" w:type="dxa"/>
          </w:tcPr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Н.Л. Уткина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 w:rsidR="0065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0B3B23" w:rsidRPr="000D35C8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О.В.</w:t>
            </w:r>
            <w:proofErr w:type="gramEnd"/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Нюнина</w:t>
            </w:r>
            <w:proofErr w:type="spellEnd"/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 И.В.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Нежинский</w:t>
            </w:r>
            <w:proofErr w:type="spellEnd"/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3AB4" w:rsidRPr="000D35C8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  Ж.В. Хазова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3B23" w:rsidRDefault="000B3B23" w:rsidP="000B3B23"/>
    <w:p w:rsidR="00E50688" w:rsidRDefault="00E50688"/>
    <w:sectPr w:rsidR="00E5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457"/>
    <w:multiLevelType w:val="hybridMultilevel"/>
    <w:tmpl w:val="B6323156"/>
    <w:lvl w:ilvl="0" w:tplc="9E70B636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EFD"/>
    <w:multiLevelType w:val="hybridMultilevel"/>
    <w:tmpl w:val="BC941A1E"/>
    <w:lvl w:ilvl="0" w:tplc="EBDE6756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5A91D47"/>
    <w:multiLevelType w:val="hybridMultilevel"/>
    <w:tmpl w:val="0B144A0E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F68CF"/>
    <w:multiLevelType w:val="hybridMultilevel"/>
    <w:tmpl w:val="2442555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C74286C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9965D1D"/>
    <w:multiLevelType w:val="hybridMultilevel"/>
    <w:tmpl w:val="D0AE316A"/>
    <w:lvl w:ilvl="0" w:tplc="D50A5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0579C"/>
    <w:multiLevelType w:val="hybridMultilevel"/>
    <w:tmpl w:val="D2EE96E0"/>
    <w:lvl w:ilvl="0" w:tplc="A112AC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100903"/>
    <w:multiLevelType w:val="hybridMultilevel"/>
    <w:tmpl w:val="107E016E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4B1D5C"/>
    <w:multiLevelType w:val="hybridMultilevel"/>
    <w:tmpl w:val="AEACAE76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4079AB"/>
    <w:multiLevelType w:val="hybridMultilevel"/>
    <w:tmpl w:val="4A74A3F0"/>
    <w:lvl w:ilvl="0" w:tplc="5A389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C72A53"/>
    <w:multiLevelType w:val="hybridMultilevel"/>
    <w:tmpl w:val="EEBC41C8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2"/>
  </w:num>
  <w:num w:numId="7">
    <w:abstractNumId w:val="4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4"/>
    <w:rsid w:val="00021138"/>
    <w:rsid w:val="00024B29"/>
    <w:rsid w:val="000926AA"/>
    <w:rsid w:val="000B3B23"/>
    <w:rsid w:val="000C5529"/>
    <w:rsid w:val="000D055D"/>
    <w:rsid w:val="000E4653"/>
    <w:rsid w:val="00115B47"/>
    <w:rsid w:val="00161203"/>
    <w:rsid w:val="001A0887"/>
    <w:rsid w:val="001C543D"/>
    <w:rsid w:val="00217A3A"/>
    <w:rsid w:val="00262174"/>
    <w:rsid w:val="003442CB"/>
    <w:rsid w:val="0041218E"/>
    <w:rsid w:val="00490165"/>
    <w:rsid w:val="005675B2"/>
    <w:rsid w:val="005B2FFA"/>
    <w:rsid w:val="0065493B"/>
    <w:rsid w:val="006D3009"/>
    <w:rsid w:val="007156B7"/>
    <w:rsid w:val="00716251"/>
    <w:rsid w:val="0072379E"/>
    <w:rsid w:val="00744481"/>
    <w:rsid w:val="00782044"/>
    <w:rsid w:val="007831FE"/>
    <w:rsid w:val="007A49B0"/>
    <w:rsid w:val="007D5266"/>
    <w:rsid w:val="008B64C7"/>
    <w:rsid w:val="008F422E"/>
    <w:rsid w:val="00925CE9"/>
    <w:rsid w:val="00967F6F"/>
    <w:rsid w:val="00987E1D"/>
    <w:rsid w:val="00A118AE"/>
    <w:rsid w:val="00A243AE"/>
    <w:rsid w:val="00A95F86"/>
    <w:rsid w:val="00A972C5"/>
    <w:rsid w:val="00AA5756"/>
    <w:rsid w:val="00AB3155"/>
    <w:rsid w:val="00AB402E"/>
    <w:rsid w:val="00B00F5B"/>
    <w:rsid w:val="00B04AE0"/>
    <w:rsid w:val="00B670DF"/>
    <w:rsid w:val="00B732D5"/>
    <w:rsid w:val="00BD7AC3"/>
    <w:rsid w:val="00C140A7"/>
    <w:rsid w:val="00C4624E"/>
    <w:rsid w:val="00C809E2"/>
    <w:rsid w:val="00CF1461"/>
    <w:rsid w:val="00CF148B"/>
    <w:rsid w:val="00D24E0D"/>
    <w:rsid w:val="00D600BA"/>
    <w:rsid w:val="00D83995"/>
    <w:rsid w:val="00DE3AB4"/>
    <w:rsid w:val="00E1245C"/>
    <w:rsid w:val="00E4692E"/>
    <w:rsid w:val="00E50688"/>
    <w:rsid w:val="00E765F1"/>
    <w:rsid w:val="00EA08FF"/>
    <w:rsid w:val="00F345C2"/>
    <w:rsid w:val="00F77EDE"/>
    <w:rsid w:val="00F858AD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EB93-D366-473B-AEC9-1EA9F76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23"/>
    <w:pPr>
      <w:spacing w:after="0" w:line="240" w:lineRule="auto"/>
    </w:pPr>
  </w:style>
  <w:style w:type="table" w:styleId="a4">
    <w:name w:val="Table Grid"/>
    <w:basedOn w:val="a1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B2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rsid w:val="0016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19044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64</cp:revision>
  <cp:lastPrinted>2021-03-02T11:34:00Z</cp:lastPrinted>
  <dcterms:created xsi:type="dcterms:W3CDTF">2020-09-18T11:40:00Z</dcterms:created>
  <dcterms:modified xsi:type="dcterms:W3CDTF">2021-05-13T10:20:00Z</dcterms:modified>
</cp:coreProperties>
</file>