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10" w:rsidRDefault="00FD0210">
      <w:pPr>
        <w:pStyle w:val="ConsPlusNormal"/>
        <w:jc w:val="both"/>
        <w:outlineLvl w:val="0"/>
      </w:pPr>
    </w:p>
    <w:p w:rsidR="00FD0210" w:rsidRDefault="00FD0210">
      <w:pPr>
        <w:pStyle w:val="ConsPlusTitle"/>
        <w:jc w:val="center"/>
      </w:pPr>
      <w:r>
        <w:t>ПЕРЕСЛАВЛЬ-ЗАЛЕССКАЯ ГОРОДСКАЯ ДУМА</w:t>
      </w:r>
    </w:p>
    <w:p w:rsidR="00FD0210" w:rsidRDefault="00FD0210">
      <w:pPr>
        <w:pStyle w:val="ConsPlusTitle"/>
        <w:jc w:val="center"/>
      </w:pPr>
      <w:r>
        <w:t>СЕДЬМОГО СОЗЫВА</w:t>
      </w:r>
    </w:p>
    <w:p w:rsidR="00FD0210" w:rsidRDefault="00FD0210">
      <w:pPr>
        <w:pStyle w:val="ConsPlusTitle"/>
        <w:jc w:val="center"/>
      </w:pPr>
    </w:p>
    <w:p w:rsidR="00FD0210" w:rsidRDefault="00FD0210">
      <w:pPr>
        <w:pStyle w:val="ConsPlusTitle"/>
        <w:jc w:val="center"/>
      </w:pPr>
      <w:r>
        <w:t>РЕШЕНИЕ</w:t>
      </w:r>
    </w:p>
    <w:p w:rsidR="00FD0210" w:rsidRDefault="00FD0210">
      <w:pPr>
        <w:pStyle w:val="ConsPlusTitle"/>
        <w:jc w:val="center"/>
      </w:pPr>
      <w:r>
        <w:t>от 25 октября 2018 г. N 103</w:t>
      </w:r>
    </w:p>
    <w:p w:rsidR="00FD0210" w:rsidRDefault="00FD0210">
      <w:pPr>
        <w:pStyle w:val="ConsPlusTitle"/>
        <w:jc w:val="center"/>
      </w:pPr>
    </w:p>
    <w:p w:rsidR="00FD0210" w:rsidRDefault="00FD0210">
      <w:pPr>
        <w:pStyle w:val="ConsPlusTitle"/>
        <w:jc w:val="center"/>
      </w:pPr>
      <w:r>
        <w:t>ОБ УСТАНОВЛЕНИИ НАЛОГА НА ИМУЩЕСТВО ФИЗИЧЕСКИХ ЛИЦ</w:t>
      </w:r>
    </w:p>
    <w:p w:rsidR="00FD0210" w:rsidRDefault="00FD0210">
      <w:pPr>
        <w:pStyle w:val="ConsPlusTitle"/>
        <w:jc w:val="center"/>
      </w:pPr>
      <w:r>
        <w:t>НА ТЕРРИТОРИИ ГОРОДСКОГО ОКРУГА ГОРОД ПЕРЕСЛАВЛЬ-ЗАЛЕССКИЙ</w:t>
      </w:r>
    </w:p>
    <w:p w:rsidR="00FD0210" w:rsidRDefault="00FD0210">
      <w:pPr>
        <w:pStyle w:val="ConsPlusTitle"/>
        <w:jc w:val="center"/>
      </w:pPr>
      <w:r>
        <w:t>ЯРОСЛАВСКОЙ ОБЛАСТИ</w:t>
      </w:r>
    </w:p>
    <w:p w:rsidR="00FD0210" w:rsidRDefault="00FD02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D021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210" w:rsidRDefault="00FD02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210" w:rsidRDefault="00FD02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0210" w:rsidRDefault="00FD02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0210" w:rsidRDefault="00FD02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Переславль-Залесской городской Думы от 31.10.2019 </w:t>
            </w:r>
            <w:hyperlink r:id="rId4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FD0210" w:rsidRDefault="00FD02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29.10.2020 </w:t>
            </w:r>
            <w:hyperlink r:id="rId5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28.10.2021 </w:t>
            </w:r>
            <w:hyperlink r:id="rId6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27.10.2022 </w:t>
            </w:r>
            <w:hyperlink r:id="rId7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210" w:rsidRDefault="00FD0210">
            <w:pPr>
              <w:pStyle w:val="ConsPlusNormal"/>
            </w:pPr>
          </w:p>
        </w:tc>
      </w:tr>
    </w:tbl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главой 32</w:t>
        </w:r>
      </w:hyperlink>
      <w:r>
        <w:t xml:space="preserve"> Налогового кодекса Российской Федерации, </w:t>
      </w:r>
      <w:hyperlink r:id="rId9">
        <w:r>
          <w:rPr>
            <w:color w:val="0000FF"/>
          </w:rPr>
          <w:t>статьей 64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пунктом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</w:t>
      </w:r>
    </w:p>
    <w:p w:rsidR="00FD0210" w:rsidRDefault="00FD021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27.10.2022 N 97)</w:t>
      </w:r>
    </w:p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ind w:firstLine="540"/>
        <w:jc w:val="both"/>
      </w:pPr>
      <w:r>
        <w:t>Переславль-Залесская городская Дума РЕШИЛА:</w:t>
      </w:r>
    </w:p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ind w:firstLine="540"/>
        <w:jc w:val="both"/>
      </w:pPr>
      <w:r>
        <w:t>1. Установить и ввести на территории городского округа город Переславль-Залесский Ярославской области налог на имущество физических лиц.</w:t>
      </w:r>
    </w:p>
    <w:p w:rsidR="00FD0210" w:rsidRDefault="00FD0210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28.10.2021 N 89)</w:t>
      </w:r>
    </w:p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ind w:firstLine="540"/>
        <w:jc w:val="both"/>
      </w:pPr>
      <w:r>
        <w:t xml:space="preserve">2. Налогоплательщики, объект налогообложения, налоговая база и порядок ее определения, налоговый период, порядок исчисления налога, порядок и сроки уплаты налога устанавливаются Налоговым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ind w:firstLine="540"/>
        <w:jc w:val="both"/>
      </w:pPr>
      <w:r>
        <w:t>3. Установить следующие ставки налога на имущество физических лиц при определении налоговой базы исходя из их кадастровой стоимости объектов налогообложения:</w:t>
      </w:r>
    </w:p>
    <w:p w:rsidR="00FD0210" w:rsidRDefault="00FD02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216"/>
        <w:gridCol w:w="1728"/>
        <w:gridCol w:w="1728"/>
      </w:tblGrid>
      <w:tr w:rsidR="00FD0210"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</w:tcPr>
          <w:p w:rsidR="00FD0210" w:rsidRDefault="00FD0210">
            <w:pPr>
              <w:pStyle w:val="ConsPlusNormal"/>
            </w:pPr>
            <w:r>
              <w:t>1)</w:t>
            </w:r>
          </w:p>
        </w:tc>
        <w:tc>
          <w:tcPr>
            <w:tcW w:w="5216" w:type="dxa"/>
            <w:vMerge w:val="restart"/>
          </w:tcPr>
          <w:p w:rsidR="00FD0210" w:rsidRDefault="00FD0210">
            <w:pPr>
              <w:pStyle w:val="ConsPlusNormal"/>
              <w:jc w:val="center"/>
            </w:pPr>
            <w:r>
              <w:t>Вид объекта налогообложения</w:t>
            </w:r>
          </w:p>
        </w:tc>
        <w:tc>
          <w:tcPr>
            <w:tcW w:w="3456" w:type="dxa"/>
            <w:gridSpan w:val="2"/>
          </w:tcPr>
          <w:p w:rsidR="00FD0210" w:rsidRDefault="00FD0210">
            <w:pPr>
              <w:pStyle w:val="ConsPlusNormal"/>
              <w:jc w:val="center"/>
            </w:pPr>
            <w:r>
              <w:t>Место нахождения объекта налогообложения</w:t>
            </w:r>
          </w:p>
        </w:tc>
      </w:tr>
      <w:tr w:rsidR="00FD0210">
        <w:tc>
          <w:tcPr>
            <w:tcW w:w="397" w:type="dxa"/>
            <w:vMerge/>
            <w:tcBorders>
              <w:top w:val="nil"/>
              <w:left w:val="nil"/>
              <w:bottom w:val="nil"/>
            </w:tcBorders>
          </w:tcPr>
          <w:p w:rsidR="00FD0210" w:rsidRDefault="00FD0210">
            <w:pPr>
              <w:pStyle w:val="ConsPlusNormal"/>
            </w:pPr>
          </w:p>
        </w:tc>
        <w:tc>
          <w:tcPr>
            <w:tcW w:w="5216" w:type="dxa"/>
            <w:vMerge/>
          </w:tcPr>
          <w:p w:rsidR="00FD0210" w:rsidRDefault="00FD0210">
            <w:pPr>
              <w:pStyle w:val="ConsPlusNormal"/>
            </w:pPr>
          </w:p>
        </w:tc>
        <w:tc>
          <w:tcPr>
            <w:tcW w:w="1728" w:type="dxa"/>
          </w:tcPr>
          <w:p w:rsidR="00FD0210" w:rsidRDefault="00FD0210">
            <w:pPr>
              <w:pStyle w:val="ConsPlusNormal"/>
              <w:jc w:val="center"/>
            </w:pPr>
            <w:r>
              <w:t>населенный пункт город Переславль-Залесский</w:t>
            </w:r>
          </w:p>
        </w:tc>
        <w:tc>
          <w:tcPr>
            <w:tcW w:w="1728" w:type="dxa"/>
          </w:tcPr>
          <w:p w:rsidR="00FD0210" w:rsidRDefault="00FD0210">
            <w:pPr>
              <w:pStyle w:val="ConsPlusNormal"/>
              <w:jc w:val="center"/>
            </w:pPr>
            <w:r>
              <w:t>иные населенные пункты</w:t>
            </w:r>
          </w:p>
        </w:tc>
      </w:tr>
      <w:tr w:rsidR="00FD0210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FD0210" w:rsidRDefault="00FD0210">
            <w:pPr>
              <w:pStyle w:val="ConsPlusNormal"/>
            </w:pPr>
          </w:p>
        </w:tc>
        <w:tc>
          <w:tcPr>
            <w:tcW w:w="5216" w:type="dxa"/>
            <w:tcBorders>
              <w:bottom w:val="nil"/>
            </w:tcBorders>
          </w:tcPr>
          <w:p w:rsidR="00FD0210" w:rsidRDefault="00FD0210">
            <w:pPr>
              <w:pStyle w:val="ConsPlusNormal"/>
            </w:pPr>
            <w:r>
              <w:t>- жилые дома, части жилых домов, квартир, части квартир, комнат;</w:t>
            </w:r>
          </w:p>
          <w:p w:rsidR="00FD0210" w:rsidRDefault="00FD0210">
            <w:pPr>
              <w:pStyle w:val="ConsPlusNormal"/>
            </w:pPr>
            <w: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FD0210" w:rsidRDefault="00FD0210">
            <w:pPr>
              <w:pStyle w:val="ConsPlusNormal"/>
            </w:pPr>
            <w:r>
              <w:t>- единые недвижимые комплексы, в состав которых входит хотя бы один жилой дом;</w:t>
            </w:r>
          </w:p>
          <w:p w:rsidR="00FD0210" w:rsidRDefault="00FD0210">
            <w:pPr>
              <w:pStyle w:val="ConsPlusNormal"/>
            </w:pPr>
            <w:r>
              <w:t xml:space="preserve">- гаражи и </w:t>
            </w:r>
            <w:proofErr w:type="spellStart"/>
            <w:r>
              <w:t>машино</w:t>
            </w:r>
            <w:proofErr w:type="spellEnd"/>
            <w:r>
              <w:t xml:space="preserve">-места, в том числе расположенные в объектах налогообложения, указанных в </w:t>
            </w:r>
            <w:hyperlink w:anchor="P41">
              <w:r>
                <w:rPr>
                  <w:color w:val="0000FF"/>
                </w:rPr>
                <w:t>подпункте 2</w:t>
              </w:r>
            </w:hyperlink>
            <w:r>
              <w:t xml:space="preserve"> настоящего пункта;</w:t>
            </w:r>
          </w:p>
          <w:p w:rsidR="00FD0210" w:rsidRDefault="00FD0210">
            <w:pPr>
              <w:pStyle w:val="ConsPlusNormal"/>
            </w:pPr>
            <w:r>
              <w:t xml:space="preserve">- хозяйственные строения или сооружения, площадь </w:t>
            </w:r>
            <w:r>
              <w:lastRenderedPageBreak/>
              <w:t>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28" w:type="dxa"/>
            <w:tcBorders>
              <w:bottom w:val="nil"/>
            </w:tcBorders>
          </w:tcPr>
          <w:p w:rsidR="00FD0210" w:rsidRDefault="00FD0210">
            <w:pPr>
              <w:pStyle w:val="ConsPlusNormal"/>
              <w:jc w:val="center"/>
            </w:pPr>
            <w:r>
              <w:lastRenderedPageBreak/>
              <w:t>0,3 процента</w:t>
            </w:r>
          </w:p>
        </w:tc>
        <w:tc>
          <w:tcPr>
            <w:tcW w:w="1728" w:type="dxa"/>
            <w:tcBorders>
              <w:bottom w:val="nil"/>
            </w:tcBorders>
          </w:tcPr>
          <w:p w:rsidR="00FD0210" w:rsidRDefault="00FD0210">
            <w:pPr>
              <w:pStyle w:val="ConsPlusNormal"/>
              <w:jc w:val="center"/>
            </w:pPr>
            <w:r>
              <w:t>0,1 процента</w:t>
            </w:r>
          </w:p>
        </w:tc>
      </w:tr>
      <w:tr w:rsidR="00FD0210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  <w:left w:val="nil"/>
              <w:bottom w:val="nil"/>
            </w:tcBorders>
          </w:tcPr>
          <w:p w:rsidR="00FD0210" w:rsidRDefault="00FD0210">
            <w:pPr>
              <w:pStyle w:val="ConsPlusNormal"/>
              <w:jc w:val="both"/>
            </w:pPr>
            <w:r>
              <w:t xml:space="preserve">(в ред. Решений Переславль-Залесской городской Думы от 31.10.2019 </w:t>
            </w:r>
            <w:hyperlink r:id="rId14">
              <w:r>
                <w:rPr>
                  <w:color w:val="0000FF"/>
                </w:rPr>
                <w:t>N 106</w:t>
              </w:r>
            </w:hyperlink>
            <w:r>
              <w:t xml:space="preserve">, от 29.10.2020 </w:t>
            </w:r>
            <w:hyperlink r:id="rId15">
              <w:r>
                <w:rPr>
                  <w:color w:val="0000FF"/>
                </w:rPr>
                <w:t>N 85</w:t>
              </w:r>
            </w:hyperlink>
            <w:r>
              <w:t>)</w:t>
            </w:r>
          </w:p>
        </w:tc>
      </w:tr>
    </w:tbl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ind w:firstLine="540"/>
        <w:jc w:val="both"/>
      </w:pPr>
      <w:bookmarkStart w:id="0" w:name="P41"/>
      <w:bookmarkEnd w:id="0"/>
      <w:r>
        <w:t xml:space="preserve">2) 2 процента в отношении объектов налогообложения, включенных в перечень, определяемый в соответствии с </w:t>
      </w:r>
      <w:hyperlink r:id="rId16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объектов налогообложения, предусмотренных </w:t>
      </w:r>
      <w:hyperlink r:id="rId17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кодекса Российской Федерации; а также в отношении объектов налогообложения, кадастровая стоимость каждого из которых превышает 300 миллионов рублей;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>3) 0,5 процента в отношении прочих объектов налогообложения.</w:t>
      </w:r>
    </w:p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ind w:firstLine="540"/>
        <w:jc w:val="both"/>
      </w:pPr>
      <w:r>
        <w:t>4. Установить право на налоговую льготу в размере 50% следующим категориям налогоплательщиков: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>- многодетные семьи, в которых воспитываются трое и более несовершеннолетних детей, включая несовершеннолетних детей на период действия льготы у данной категории;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>- одинокие матери, имеющие несовершеннолетнего(-их) ребенка (детей).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>Налоговая льгота предоставляется в отношении следующих видов объектов налогообложения, находящихся в собственности налогоплательщика и не используемых им в предпринимательской деятельности: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>1) квартира, часть квартиры или комната;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>2) жилой дом или часть жилого дома;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 xml:space="preserve">3) хозяйственное строение или сооружение, указанные в </w:t>
      </w:r>
      <w:hyperlink r:id="rId18">
        <w:r>
          <w:rPr>
            <w:color w:val="0000FF"/>
          </w:rPr>
          <w:t>подпункте 15 пункта 1 статьи 407</w:t>
        </w:r>
      </w:hyperlink>
      <w:r>
        <w:t xml:space="preserve"> Налогового кодекса Российской Федерации;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 xml:space="preserve">4) гараж или </w:t>
      </w:r>
      <w:proofErr w:type="spellStart"/>
      <w:r>
        <w:t>машино</w:t>
      </w:r>
      <w:proofErr w:type="spellEnd"/>
      <w:r>
        <w:t>-место.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 xml:space="preserve">Налоговая льгота не предоставляется в отношении объектов налогообложения, указанных в </w:t>
      </w:r>
      <w:hyperlink r:id="rId19">
        <w:r>
          <w:rPr>
            <w:color w:val="0000FF"/>
          </w:rPr>
          <w:t>подпункте 2 пункта 2 статьи 406</w:t>
        </w:r>
      </w:hyperlink>
      <w:r>
        <w:t xml:space="preserve"> Налогового кодекса Российской Федерации, за исключением гаражей и </w:t>
      </w:r>
      <w:proofErr w:type="spellStart"/>
      <w:r>
        <w:t>машино</w:t>
      </w:r>
      <w:proofErr w:type="spellEnd"/>
      <w:r>
        <w:t>-мест, расположенных в таких объектах налогообложения.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 xml:space="preserve">Подтверждение права налогоплательщика на налоговую льготу осуществляется в порядке, аналогичном порядку, предусмотренному </w:t>
      </w:r>
      <w:hyperlink r:id="rId20">
        <w:r>
          <w:rPr>
            <w:color w:val="0000FF"/>
          </w:rPr>
          <w:t>пунктом 3 статьи 361.1</w:t>
        </w:r>
      </w:hyperlink>
      <w:r>
        <w:t xml:space="preserve"> Налогового кодекса Российской Федерации.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 xml:space="preserve">Для подтверждения статуса многодетной семьи налогоплательщику требуется предоставить в налоговый орган по своему выбору вместе с заявлением о предоставлении налоговой льготы </w:t>
      </w:r>
      <w:r>
        <w:lastRenderedPageBreak/>
        <w:t xml:space="preserve">удостоверение многодетной семьи, выданное в соответствии с </w:t>
      </w:r>
      <w:hyperlink r:id="rId21">
        <w:r>
          <w:rPr>
            <w:color w:val="0000FF"/>
          </w:rPr>
          <w:t>Законом</w:t>
        </w:r>
      </w:hyperlink>
      <w:r>
        <w:t xml:space="preserve"> Ярославской области "Социальный кодекс Ярославской области" и </w:t>
      </w:r>
      <w:hyperlink r:id="rId22">
        <w:r>
          <w:rPr>
            <w:color w:val="0000FF"/>
          </w:rPr>
          <w:t>Порядком</w:t>
        </w:r>
      </w:hyperlink>
      <w:r>
        <w:t xml:space="preserve"> выдачи удостоверений многодетным семьям, утвержденным постановлением Правительства Ярославской области от 12 февраля 2013 года N 103-п "Об утверждении Порядка выдачи удостоверений многодетным семьям Ярославской области и признании утратившим силу постановления Администрации области от 04.02.2005 N 19.</w:t>
      </w:r>
    </w:p>
    <w:p w:rsidR="00FD0210" w:rsidRDefault="00FD0210">
      <w:pPr>
        <w:pStyle w:val="ConsPlusNormal"/>
        <w:jc w:val="both"/>
      </w:pPr>
      <w:r>
        <w:t xml:space="preserve">(п. 4 в ред. </w:t>
      </w:r>
      <w:hyperlink r:id="rId23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27.10.2022 N 97)</w:t>
      </w:r>
    </w:p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ind w:firstLine="540"/>
        <w:jc w:val="both"/>
      </w:pPr>
      <w:r>
        <w:t>5. Опубликовать настоящее решение в газете "Переславская неделя" и разместить на официальном сайте органов местного самоуправления города Переславля-Залесского в сети Интернет.</w:t>
      </w:r>
    </w:p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ind w:firstLine="540"/>
        <w:jc w:val="both"/>
      </w:pPr>
      <w:r>
        <w:t>6. Настоящее решение вступает в силу с 1 января 2019 года, но не ранее по истечении одного месяца со дня его официального опубликования.</w:t>
      </w:r>
    </w:p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ind w:firstLine="540"/>
        <w:jc w:val="both"/>
      </w:pPr>
      <w:r>
        <w:t>7. Со дня вступления в силу настоящего решения признать утратившими силу: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решение</w:t>
        </w:r>
      </w:hyperlink>
      <w:r>
        <w:t xml:space="preserve"> Переславль-Залесской городской Думы от 27 ноября 2014 года N 138 "Об установлении налога на имущество физических лиц на территории городского округа г. Переславля-Залесского";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решение</w:t>
        </w:r>
      </w:hyperlink>
      <w:r>
        <w:t xml:space="preserve"> Переславль-Залесской городской Думы от 23 ноября 2017 года N 103 "О внесении изменений в решение Переславль-Залесской городской Думы от 27.11.2014 N 138 "Об установлении налога на имущество физических лиц на территории городского округа г. Переславля-Залесского";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решение</w:t>
        </w:r>
      </w:hyperlink>
      <w:r>
        <w:t xml:space="preserve"> Муниципального Совета </w:t>
      </w:r>
      <w:proofErr w:type="spellStart"/>
      <w:r>
        <w:t>Нагорьевского</w:t>
      </w:r>
      <w:proofErr w:type="spellEnd"/>
      <w:r>
        <w:t xml:space="preserve"> сельского поселения Переславского муниципального района от 27 ноября 2017 года N 145 "Об установлении налога на имущество физических лиц на территории </w:t>
      </w:r>
      <w:proofErr w:type="spellStart"/>
      <w:r>
        <w:t>Нагорьевского</w:t>
      </w:r>
      <w:proofErr w:type="spellEnd"/>
      <w:r>
        <w:t xml:space="preserve"> сельского поселения Переславского муниципального района";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решение</w:t>
        </w:r>
      </w:hyperlink>
      <w:r>
        <w:t xml:space="preserve"> Муниципального Совета </w:t>
      </w:r>
      <w:proofErr w:type="spellStart"/>
      <w:r>
        <w:t>Рязанцевского</w:t>
      </w:r>
      <w:proofErr w:type="spellEnd"/>
      <w:r>
        <w:t xml:space="preserve"> сельского поселения Переславского муниципального района от 14 ноября 2017 года N 17 "Об установлении налога на имущество физических лиц на территории </w:t>
      </w:r>
      <w:proofErr w:type="spellStart"/>
      <w:r>
        <w:t>Рязанцевского</w:t>
      </w:r>
      <w:proofErr w:type="spellEnd"/>
      <w:r>
        <w:t xml:space="preserve"> сельского поселения Переславского муниципального района";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решение</w:t>
        </w:r>
      </w:hyperlink>
      <w:r>
        <w:t xml:space="preserve"> Муниципального Совета Пригородного сельского поселения Переславского муниципального района от 24 ноября 2014 года N 14 "О налоге на имущество физических лиц";</w:t>
      </w:r>
    </w:p>
    <w:p w:rsidR="00FD0210" w:rsidRDefault="00FD0210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решение</w:t>
        </w:r>
      </w:hyperlink>
      <w:r>
        <w:t xml:space="preserve"> Муниципального Совета Пригородного сельского поселения Переславского муниципального района от 24 ноября 2017 года N 115 "О внесении изменений в решение Муниципального Совета Пригородного сельского поселения от 24.11.2014 N 14 "О налоге на имущество физических лиц".</w:t>
      </w:r>
    </w:p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jc w:val="right"/>
      </w:pPr>
      <w:r>
        <w:t>Исполняющий обязанности Главы</w:t>
      </w:r>
    </w:p>
    <w:p w:rsidR="00FD0210" w:rsidRDefault="00FD0210">
      <w:pPr>
        <w:pStyle w:val="ConsPlusNormal"/>
        <w:jc w:val="right"/>
      </w:pPr>
      <w:r>
        <w:t>городского округа</w:t>
      </w:r>
    </w:p>
    <w:p w:rsidR="00FD0210" w:rsidRDefault="00FD0210">
      <w:pPr>
        <w:pStyle w:val="ConsPlusNormal"/>
        <w:jc w:val="right"/>
      </w:pPr>
      <w:r>
        <w:t>города Переславля-Залесского</w:t>
      </w:r>
    </w:p>
    <w:p w:rsidR="00FD0210" w:rsidRDefault="00FD0210">
      <w:pPr>
        <w:pStyle w:val="ConsPlusNormal"/>
        <w:jc w:val="right"/>
      </w:pPr>
      <w:r>
        <w:t>В.А.АСТРАХАНЦЕВ</w:t>
      </w:r>
    </w:p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jc w:val="right"/>
      </w:pPr>
      <w:r>
        <w:t>Председатель</w:t>
      </w:r>
    </w:p>
    <w:p w:rsidR="00FD0210" w:rsidRDefault="00FD0210">
      <w:pPr>
        <w:pStyle w:val="ConsPlusNormal"/>
        <w:jc w:val="right"/>
      </w:pPr>
      <w:r>
        <w:t>Переславль-Залесской</w:t>
      </w:r>
    </w:p>
    <w:p w:rsidR="00FD0210" w:rsidRDefault="00FD0210">
      <w:pPr>
        <w:pStyle w:val="ConsPlusNormal"/>
        <w:jc w:val="right"/>
      </w:pPr>
      <w:r>
        <w:t>городской Думы</w:t>
      </w:r>
    </w:p>
    <w:p w:rsidR="00FD0210" w:rsidRDefault="00FD0210">
      <w:pPr>
        <w:pStyle w:val="ConsPlusNormal"/>
        <w:jc w:val="right"/>
      </w:pPr>
      <w:r>
        <w:t>С.В.КОРНИЕНКО</w:t>
      </w:r>
    </w:p>
    <w:p w:rsidR="00FD0210" w:rsidRDefault="00FD0210">
      <w:pPr>
        <w:pStyle w:val="ConsPlusNormal"/>
        <w:jc w:val="both"/>
      </w:pPr>
    </w:p>
    <w:p w:rsidR="00FD0210" w:rsidRDefault="00FD0210">
      <w:pPr>
        <w:pStyle w:val="ConsPlusNormal"/>
        <w:jc w:val="both"/>
      </w:pPr>
    </w:p>
    <w:p w:rsidR="00673C65" w:rsidRDefault="00673C65">
      <w:bookmarkStart w:id="1" w:name="_GoBack"/>
      <w:bookmarkEnd w:id="1"/>
    </w:p>
    <w:sectPr w:rsidR="00673C65" w:rsidSect="00C2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10"/>
    <w:rsid w:val="00673C65"/>
    <w:rsid w:val="00755F7A"/>
    <w:rsid w:val="009D7EF5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02D4C-5BBC-4A0F-A0BF-CEF1209C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2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02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02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C9A6B294C8AABEFB06CAC7A2F81F6DE4D3A16C10F093FA02ED5A55FAA8C78D288364DEA467CEAE0D9AF94E7D95799878C51C0362F9FnEJAI" TargetMode="External"/><Relationship Id="rId13" Type="http://schemas.openxmlformats.org/officeDocument/2006/relationships/hyperlink" Target="consultantplus://offline/ref=56DC9A6B294C8AABEFB06CAC7A2F81F6DE4D3A15C60E093FA02ED5A55FAA8C78C0886E41E84763E2E293FCD0B0nDJ7I" TargetMode="External"/><Relationship Id="rId18" Type="http://schemas.openxmlformats.org/officeDocument/2006/relationships/hyperlink" Target="consultantplus://offline/ref=56DC9A6B294C8AABEFB06CAC7A2F81F6DE4D3A16C10F093FA02ED5A55FAA8C78D288364DED4D7EE4E0D9AF94E7D95799878C51C0362F9FnEJAI" TargetMode="External"/><Relationship Id="rId26" Type="http://schemas.openxmlformats.org/officeDocument/2006/relationships/hyperlink" Target="consultantplus://offline/ref=56DC9A6B294C8AABEFB072A16C43DFF3DC436019CB0E046CFC718EF808A3862F95C76F1DAE1070E0E993FED9ACD65599n9J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DC9A6B294C8AABEFB072A16C43DFF3DC436019C3020069F57ED3F200FA8A2D92C83018BB0128EFE98FE0D0BBCA579B9Bn8JFI" TargetMode="External"/><Relationship Id="rId7" Type="http://schemas.openxmlformats.org/officeDocument/2006/relationships/hyperlink" Target="consultantplus://offline/ref=56DC9A6B294C8AABEFB072A16C43DFF3DC436019C305046DF872D3F200FA8A2D92C83018A90170E3EB8DFED0B4DF01CADDD955DC36319DE0667D416DnDJCI" TargetMode="External"/><Relationship Id="rId12" Type="http://schemas.openxmlformats.org/officeDocument/2006/relationships/hyperlink" Target="consultantplus://offline/ref=56DC9A6B294C8AABEFB072A16C43DFF3DC436019C3040A6FF87DD3F200FA8A2D92C83018A90170E3EB8DFED0BBDF01CADDD955DC36319DE0667D416DnDJCI" TargetMode="External"/><Relationship Id="rId17" Type="http://schemas.openxmlformats.org/officeDocument/2006/relationships/hyperlink" Target="consultantplus://offline/ref=56DC9A6B294C8AABEFB06CAC7A2F81F6DE4D3A16C10F093FA02ED5A55FAA8C78D288364DE94C75E4E0D9AF94E7D95799878C51C0362F9FnEJAI" TargetMode="External"/><Relationship Id="rId25" Type="http://schemas.openxmlformats.org/officeDocument/2006/relationships/hyperlink" Target="consultantplus://offline/ref=56DC9A6B294C8AABEFB072A16C43DFF3DC436019CB0E0A68FD718EF808A3862F95C76F1DAE1070E0E993FED9ACD65599n9J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DC9A6B294C8AABEFB06CAC7A2F81F6DE4D3A16C10F093FA02ED5A55FAA8C78D2883645E84474E9BFDCBA85BFD65785998546DC342Dn9JEI" TargetMode="External"/><Relationship Id="rId20" Type="http://schemas.openxmlformats.org/officeDocument/2006/relationships/hyperlink" Target="consultantplus://offline/ref=56DC9A6B294C8AABEFB06CAC7A2F81F6DE4D3A16C10F093FA02ED5A55FAA8C78D288364DED407FE0E0D9AF94E7D95799878C51C0362F9FnEJAI" TargetMode="External"/><Relationship Id="rId29" Type="http://schemas.openxmlformats.org/officeDocument/2006/relationships/hyperlink" Target="consultantplus://offline/ref=56DC9A6B294C8AABEFB072A16C43DFF3DC436019CB0F0068F4718EF808A3862F95C76F1DAE1070E0E993FED9ACD65599n9J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DC9A6B294C8AABEFB072A16C43DFF3DC436019C3040A6FF87DD3F200FA8A2D92C83018A90170E3EB8DFED0B4DF01CADDD955DC36319DE0667D416DnDJCI" TargetMode="External"/><Relationship Id="rId11" Type="http://schemas.openxmlformats.org/officeDocument/2006/relationships/hyperlink" Target="consultantplus://offline/ref=56DC9A6B294C8AABEFB072A16C43DFF3DC436019C305046DF872D3F200FA8A2D92C83018A90170E3EB8DFED0B5DF01CADDD955DC36319DE0667D416DnDJCI" TargetMode="External"/><Relationship Id="rId24" Type="http://schemas.openxmlformats.org/officeDocument/2006/relationships/hyperlink" Target="consultantplus://offline/ref=56DC9A6B294C8AABEFB072A16C43DFF3DC436019CB0E0A6DFD718EF808A3862F95C76F1DAE1070E0E993FED9ACD65599n9JAI" TargetMode="External"/><Relationship Id="rId5" Type="http://schemas.openxmlformats.org/officeDocument/2006/relationships/hyperlink" Target="consultantplus://offline/ref=56DC9A6B294C8AABEFB072A16C43DFF3DC436019C304036BF572D3F200FA8A2D92C83018A90170E3EB8DFED0B4DF01CADDD955DC36319DE0667D416DnDJCI" TargetMode="External"/><Relationship Id="rId15" Type="http://schemas.openxmlformats.org/officeDocument/2006/relationships/hyperlink" Target="consultantplus://offline/ref=56DC9A6B294C8AABEFB072A16C43DFF3DC436019C304036BF572D3F200FA8A2D92C83018A90170E3EB8DFED0B5DF01CADDD955DC36319DE0667D416DnDJCI" TargetMode="External"/><Relationship Id="rId23" Type="http://schemas.openxmlformats.org/officeDocument/2006/relationships/hyperlink" Target="consultantplus://offline/ref=56DC9A6B294C8AABEFB072A16C43DFF3DC436019C305046DF872D3F200FA8A2D92C83018A90170E3EB8DFED0BADF01CADDD955DC36319DE0667D416DnDJCI" TargetMode="External"/><Relationship Id="rId28" Type="http://schemas.openxmlformats.org/officeDocument/2006/relationships/hyperlink" Target="consultantplus://offline/ref=56DC9A6B294C8AABEFB072A16C43DFF3DC436019CB0F016FFD718EF808A3862F95C76F1DAE1070E0E993FED9ACD65599n9JAI" TargetMode="External"/><Relationship Id="rId10" Type="http://schemas.openxmlformats.org/officeDocument/2006/relationships/hyperlink" Target="consultantplus://offline/ref=56DC9A6B294C8AABEFB06CAC7A2F81F6DE4D3A14C201093FA02ED5A55FAA8C78D288364DEA457CE4E286AA81F68158999B9258D72A2D9DEBn7JBI" TargetMode="External"/><Relationship Id="rId19" Type="http://schemas.openxmlformats.org/officeDocument/2006/relationships/hyperlink" Target="consultantplus://offline/ref=56DC9A6B294C8AABEFB06CAC7A2F81F6DE4D3A16C10F093FA02ED5A55FAA8C78D288364DEA467BE7E0D9AF94E7D95799878C51C0362F9FnEJAI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56DC9A6B294C8AABEFB072A16C43DFF3DC436019C307016DFE73D3F200FA8A2D92C83018A90170E3EB8DFED0B4DF01CADDD955DC36319DE0667D416DnDJCI" TargetMode="External"/><Relationship Id="rId9" Type="http://schemas.openxmlformats.org/officeDocument/2006/relationships/hyperlink" Target="consultantplus://offline/ref=56DC9A6B294C8AABEFB06CAC7A2F81F6DE4D3A16C705093FA02ED5A55FAA8C78D288364DE94179E9BFDCBA85BFD65785998546DC342Dn9JEI" TargetMode="External"/><Relationship Id="rId14" Type="http://schemas.openxmlformats.org/officeDocument/2006/relationships/hyperlink" Target="consultantplus://offline/ref=56DC9A6B294C8AABEFB072A16C43DFF3DC436019C307016DFE73D3F200FA8A2D92C83018A90170E3EB8DFED0B5DF01CADDD955DC36319DE0667D416DnDJCI" TargetMode="External"/><Relationship Id="rId22" Type="http://schemas.openxmlformats.org/officeDocument/2006/relationships/hyperlink" Target="consultantplus://offline/ref=56DC9A6B294C8AABEFB072A16C43DFF3DC436019C3050469F57BD3F200FA8A2D92C83018A90170E3EB8DFED1B7DF01CADDD955DC36319DE0667D416DnDJCI" TargetMode="External"/><Relationship Id="rId27" Type="http://schemas.openxmlformats.org/officeDocument/2006/relationships/hyperlink" Target="consultantplus://offline/ref=56DC9A6B294C8AABEFB072A16C43DFF3DC436019CB0E0661FE718EF808A3862F95C76F1DAE1070E0E993FED9ACD65599n9JA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Solovieva</dc:creator>
  <cp:keywords/>
  <dc:description/>
  <cp:lastModifiedBy>Ankudovich</cp:lastModifiedBy>
  <cp:revision>2</cp:revision>
  <dcterms:created xsi:type="dcterms:W3CDTF">2023-09-22T08:09:00Z</dcterms:created>
  <dcterms:modified xsi:type="dcterms:W3CDTF">2023-09-22T08:14:00Z</dcterms:modified>
</cp:coreProperties>
</file>