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48F" w:rsidRPr="00831EBF" w:rsidRDefault="0005048F" w:rsidP="0005048F">
      <w:pPr>
        <w:spacing w:after="0" w:line="240" w:lineRule="auto"/>
        <w:ind w:left="900" w:right="60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831EBF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КОМПЛЕКСНАЯ ОЦЕНКА РЕЗУЛЬТАТИВНОСТИ И ЭФФЕКТИВНОСТИ городских ЦЕЛЕВЫХ, долгосрочных и ведомственных ПРОГРАММ В 2012 ГОДУ</w:t>
      </w:r>
    </w:p>
    <w:p w:rsidR="0005048F" w:rsidRPr="00831EBF" w:rsidRDefault="0005048F" w:rsidP="0005048F">
      <w:pPr>
        <w:spacing w:after="0" w:line="240" w:lineRule="auto"/>
        <w:ind w:left="900" w:right="60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05048F" w:rsidRPr="00831EBF" w:rsidRDefault="0005048F" w:rsidP="00E32D19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>В 2012 году работа по разработке</w:t>
      </w:r>
      <w:r w:rsidR="00656BF0" w:rsidRPr="00831EB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реализации </w:t>
      </w:r>
      <w:r w:rsidR="00656BF0"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и оценке 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городских целевых программ производилась в соответствии с </w:t>
      </w:r>
      <w:r w:rsidR="00656BF0" w:rsidRPr="00831EBF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остановлением Мэра г.Переславля-Залесского от 11.08.2006 г. № 1002 «Об утверждении порядка разработки, принятия и реализации целевых программ» (в редакции от 01.12.2008 г. №1367, от 01.04.2010г. №357, от 16.06.2010 №785, </w:t>
      </w:r>
      <w:proofErr w:type="gramStart"/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 23.04.2012 №</w:t>
      </w:r>
      <w:r w:rsidR="00656BF0" w:rsidRPr="00831EBF">
        <w:rPr>
          <w:rFonts w:ascii="Times New Roman" w:eastAsia="Times New Roman" w:hAnsi="Times New Roman"/>
          <w:sz w:val="24"/>
          <w:szCs w:val="24"/>
          <w:lang w:eastAsia="ru-RU"/>
        </w:rPr>
        <w:t>499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656BF0"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6BF0"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по ведомственным программам производилась в соответствии с постановлением Мэра г. Переславля-Залесского от 31.08.2008 г. № 1524 «Об утверждении Положения о порядке разработки, утверждения и реализации ведомственных целевых программ». </w:t>
      </w:r>
      <w:r w:rsidR="009D5300" w:rsidRPr="00831EBF">
        <w:rPr>
          <w:rFonts w:ascii="Times New Roman" w:eastAsia="Times New Roman" w:hAnsi="Times New Roman"/>
          <w:sz w:val="24"/>
          <w:szCs w:val="24"/>
          <w:lang w:eastAsia="ru-RU"/>
        </w:rPr>
        <w:t>Осуществлялась</w:t>
      </w:r>
      <w:r w:rsidR="00656BF0"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реализация программ, принятых как 2012 году, так и ранее утвержденных. Все программы принимались Постановлениями Администрации г. Переславля-Залесского.</w:t>
      </w:r>
    </w:p>
    <w:p w:rsidR="009D5300" w:rsidRPr="00831EBF" w:rsidRDefault="009D5300" w:rsidP="009D5300">
      <w:pPr>
        <w:spacing w:after="0" w:line="240" w:lineRule="auto"/>
        <w:ind w:right="60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>В течение 2012 года вносились изменения в городские целевые, долгосрочные и ведомственные программы. Основными причинами внесения изменений были:</w:t>
      </w:r>
    </w:p>
    <w:p w:rsidR="009D5300" w:rsidRPr="00831EBF" w:rsidRDefault="009D5300" w:rsidP="009D5300">
      <w:pPr>
        <w:spacing w:after="0" w:line="240" w:lineRule="auto"/>
        <w:ind w:right="60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>- изменение объемов финансирования;</w:t>
      </w:r>
    </w:p>
    <w:p w:rsidR="009D5300" w:rsidRPr="00831EBF" w:rsidRDefault="009D5300" w:rsidP="009D5300">
      <w:pPr>
        <w:spacing w:after="0" w:line="240" w:lineRule="auto"/>
        <w:ind w:right="60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>- корректировка мероприятий или механизма реализации программы;</w:t>
      </w:r>
    </w:p>
    <w:p w:rsidR="009D5300" w:rsidRPr="00831EBF" w:rsidRDefault="009D5300" w:rsidP="009D5300">
      <w:pPr>
        <w:spacing w:after="0" w:line="240" w:lineRule="auto"/>
        <w:ind w:left="900" w:right="600" w:hanging="19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>- изменение требований к программам.</w:t>
      </w:r>
    </w:p>
    <w:p w:rsidR="009D5300" w:rsidRPr="00BD19AC" w:rsidRDefault="009D5300" w:rsidP="0005048F">
      <w:pPr>
        <w:spacing w:after="0" w:line="240" w:lineRule="auto"/>
        <w:ind w:right="600"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4C22CB" w:rsidRDefault="00546E3F" w:rsidP="0004003D">
      <w:pPr>
        <w:jc w:val="center"/>
      </w:pPr>
      <w:r>
        <w:rPr>
          <w:noProof/>
          <w:lang w:eastAsia="ru-RU"/>
        </w:rPr>
        <w:drawing>
          <wp:inline distT="0" distB="0" distL="0" distR="0" wp14:anchorId="3352D596" wp14:editId="119D877B">
            <wp:extent cx="5318760" cy="3352800"/>
            <wp:effectExtent l="0" t="0" r="1524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31EBF" w:rsidRDefault="00831EBF" w:rsidP="00E32D19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>В течение года осуществлялась реализация 3</w:t>
      </w:r>
      <w:r w:rsidR="001B4EC7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 (</w:t>
      </w:r>
      <w:r w:rsidR="001B4EC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 ведомственных целевых программ, 2 городские адресные программы, 2</w:t>
      </w:r>
      <w:r w:rsidR="00671ED5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городские целевые программы) с плановым объемом финансирования из городского бюджета </w:t>
      </w:r>
      <w:r w:rsidR="00671ED5">
        <w:rPr>
          <w:rFonts w:ascii="Times New Roman" w:eastAsia="Times New Roman" w:hAnsi="Times New Roman"/>
          <w:sz w:val="24"/>
          <w:szCs w:val="24"/>
          <w:lang w:eastAsia="ru-RU"/>
        </w:rPr>
        <w:t>877 722,0 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тыс. рублей. Фактический объем финансирования программ из бюджета составил  </w:t>
      </w:r>
      <w:r w:rsidR="00671ED5">
        <w:rPr>
          <w:rFonts w:ascii="Times New Roman" w:eastAsia="Times New Roman" w:hAnsi="Times New Roman"/>
          <w:sz w:val="24"/>
          <w:szCs w:val="24"/>
          <w:lang w:eastAsia="ru-RU"/>
        </w:rPr>
        <w:t>854 590</w:t>
      </w:r>
      <w:r w:rsidR="001B4E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>тыс. рублей или 9</w:t>
      </w:r>
      <w:r w:rsidR="00671ED5">
        <w:rPr>
          <w:rFonts w:ascii="Times New Roman" w:eastAsia="Times New Roman" w:hAnsi="Times New Roman"/>
          <w:sz w:val="24"/>
          <w:szCs w:val="24"/>
          <w:lang w:eastAsia="ru-RU"/>
        </w:rPr>
        <w:t>7,4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>% от плана. Увеличение финансирования в сравнении с 20</w:t>
      </w:r>
      <w:r w:rsidR="00F22390">
        <w:rPr>
          <w:rFonts w:ascii="Times New Roman" w:eastAsia="Times New Roman" w:hAnsi="Times New Roman"/>
          <w:sz w:val="24"/>
          <w:szCs w:val="24"/>
          <w:lang w:eastAsia="ru-RU"/>
        </w:rPr>
        <w:t xml:space="preserve">11 годом 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произошло в виду </w:t>
      </w:r>
      <w:r w:rsidR="00F22390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изменения подхода к формированию программ. Большую часть </w:t>
      </w:r>
      <w:r w:rsidR="00BA209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программных расходов городского бюджета (54,7%) составила </w:t>
      </w:r>
      <w:r w:rsidRPr="00BA209F">
        <w:rPr>
          <w:rFonts w:ascii="Times New Roman" w:eastAsia="Times New Roman" w:hAnsi="Times New Roman"/>
          <w:sz w:val="24"/>
          <w:szCs w:val="24"/>
          <w:lang w:eastAsia="ru-RU"/>
        </w:rPr>
        <w:t>ведомственн</w:t>
      </w:r>
      <w:r w:rsidR="00BA209F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BA209F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</w:t>
      </w:r>
      <w:r w:rsidR="00AE211F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Pr="00BA209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 w:rsidR="00AE211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A20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209F" w:rsidRPr="00BA209F">
        <w:rPr>
          <w:rFonts w:ascii="Times New Roman" w:eastAsia="Times New Roman" w:hAnsi="Times New Roman"/>
          <w:sz w:val="24"/>
          <w:szCs w:val="24"/>
          <w:lang w:eastAsia="ru-RU"/>
        </w:rPr>
        <w:t>ВЦП "Обеспечение функционирования и развития муниципальной системы образования города Переславля-Залесского на 2011-2013 годы"</w:t>
      </w:r>
      <w:r w:rsidR="00AE211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A209F" w:rsidRPr="00BA20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В истекшем году доля бюджетных расходов 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предусмотренных на реализацию целевых программ составила </w:t>
      </w:r>
      <w:r w:rsidR="00AE211F">
        <w:rPr>
          <w:rFonts w:ascii="Times New Roman" w:eastAsia="Times New Roman" w:hAnsi="Times New Roman"/>
          <w:sz w:val="24"/>
          <w:szCs w:val="24"/>
          <w:lang w:eastAsia="ru-RU"/>
        </w:rPr>
        <w:t>77,2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 xml:space="preserve">%. Увеличение в сравнении с прошлым годом на </w:t>
      </w:r>
      <w:r w:rsidR="00546E3F">
        <w:rPr>
          <w:rFonts w:ascii="Times New Roman" w:eastAsia="Times New Roman" w:hAnsi="Times New Roman"/>
          <w:sz w:val="24"/>
          <w:szCs w:val="24"/>
          <w:lang w:eastAsia="ru-RU"/>
        </w:rPr>
        <w:t>63</w:t>
      </w:r>
      <w:r w:rsidRPr="00831EBF">
        <w:rPr>
          <w:rFonts w:ascii="Times New Roman" w:eastAsia="Times New Roman" w:hAnsi="Times New Roman"/>
          <w:sz w:val="24"/>
          <w:szCs w:val="24"/>
          <w:lang w:eastAsia="ru-RU"/>
        </w:rPr>
        <w:t>%.</w:t>
      </w:r>
    </w:p>
    <w:p w:rsidR="00F92850" w:rsidRDefault="00F92850" w:rsidP="00831EBF">
      <w:pPr>
        <w:spacing w:after="0" w:line="240" w:lineRule="auto"/>
        <w:ind w:right="60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D82" w:rsidRDefault="00F92850" w:rsidP="00E32D19">
      <w:pPr>
        <w:spacing w:after="0" w:line="240" w:lineRule="auto"/>
        <w:ind w:right="60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3937C2D" wp14:editId="60A74543">
            <wp:extent cx="5440680" cy="3512820"/>
            <wp:effectExtent l="0" t="0" r="26670" b="1143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92850" w:rsidRDefault="00F92850" w:rsidP="00F92850">
      <w:pPr>
        <w:spacing w:after="0" w:line="240" w:lineRule="auto"/>
        <w:ind w:right="60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2D19" w:rsidRPr="00BA2666" w:rsidRDefault="00E32D19" w:rsidP="00BA266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A2666">
        <w:rPr>
          <w:rFonts w:ascii="Times New Roman" w:hAnsi="Times New Roman"/>
          <w:sz w:val="24"/>
          <w:szCs w:val="24"/>
        </w:rPr>
        <w:t xml:space="preserve">Как видно из </w:t>
      </w:r>
      <w:r w:rsidR="00BA2666" w:rsidRPr="00BA2666">
        <w:rPr>
          <w:rFonts w:ascii="Times New Roman" w:hAnsi="Times New Roman"/>
          <w:sz w:val="24"/>
          <w:szCs w:val="24"/>
        </w:rPr>
        <w:t>рисунка 2,</w:t>
      </w:r>
      <w:r w:rsidRPr="00BA2666">
        <w:rPr>
          <w:rFonts w:ascii="Times New Roman" w:hAnsi="Times New Roman"/>
          <w:sz w:val="24"/>
          <w:szCs w:val="24"/>
        </w:rPr>
        <w:t xml:space="preserve"> структура источников финансирования программ в 2012 году изменилась,  </w:t>
      </w:r>
      <w:r w:rsidR="00BA2666" w:rsidRPr="00BA2666">
        <w:rPr>
          <w:rFonts w:ascii="Times New Roman" w:hAnsi="Times New Roman"/>
          <w:sz w:val="24"/>
          <w:szCs w:val="24"/>
        </w:rPr>
        <w:t xml:space="preserve">уменьшились расходы из местного бюджета на 42,2 процентных пункта, увеличилось </w:t>
      </w:r>
      <w:r w:rsidRPr="00BA2666">
        <w:rPr>
          <w:rFonts w:ascii="Times New Roman" w:hAnsi="Times New Roman"/>
          <w:sz w:val="24"/>
          <w:szCs w:val="24"/>
        </w:rPr>
        <w:t>финансирование из областного и федерального бюджетов.</w:t>
      </w:r>
      <w:proofErr w:type="gramEnd"/>
      <w:r w:rsidRPr="00BA2666">
        <w:rPr>
          <w:rFonts w:ascii="Times New Roman" w:hAnsi="Times New Roman"/>
          <w:sz w:val="24"/>
          <w:szCs w:val="24"/>
        </w:rPr>
        <w:t xml:space="preserve">  Это объясняется тем, что на муниципальном уровне одним из основных направлений реформирования </w:t>
      </w:r>
      <w:r w:rsidRPr="00BA2666">
        <w:rPr>
          <w:rFonts w:ascii="Times New Roman" w:hAnsi="Times New Roman"/>
          <w:bCs/>
          <w:sz w:val="24"/>
          <w:szCs w:val="24"/>
        </w:rPr>
        <w:t>бюджетного</w:t>
      </w:r>
      <w:r w:rsidRPr="00BA2666">
        <w:rPr>
          <w:rFonts w:ascii="Times New Roman" w:hAnsi="Times New Roman"/>
          <w:sz w:val="24"/>
          <w:szCs w:val="24"/>
        </w:rPr>
        <w:t xml:space="preserve"> процесса является переход преимущественно к </w:t>
      </w:r>
      <w:r w:rsidRPr="00BA2666">
        <w:rPr>
          <w:rFonts w:ascii="Times New Roman" w:hAnsi="Times New Roman"/>
          <w:bCs/>
          <w:sz w:val="24"/>
          <w:szCs w:val="24"/>
        </w:rPr>
        <w:t>программно</w:t>
      </w:r>
      <w:r w:rsidRPr="00BA2666">
        <w:rPr>
          <w:rFonts w:ascii="Times New Roman" w:hAnsi="Times New Roman"/>
          <w:sz w:val="24"/>
          <w:szCs w:val="24"/>
        </w:rPr>
        <w:t>-</w:t>
      </w:r>
      <w:r w:rsidRPr="00BA2666">
        <w:rPr>
          <w:rFonts w:ascii="Times New Roman" w:hAnsi="Times New Roman"/>
          <w:bCs/>
          <w:sz w:val="24"/>
          <w:szCs w:val="24"/>
        </w:rPr>
        <w:t>целевым</w:t>
      </w:r>
      <w:r w:rsidRPr="00BA2666">
        <w:rPr>
          <w:rFonts w:ascii="Times New Roman" w:hAnsi="Times New Roman"/>
          <w:sz w:val="24"/>
          <w:szCs w:val="24"/>
        </w:rPr>
        <w:t xml:space="preserve"> </w:t>
      </w:r>
      <w:r w:rsidRPr="00BA2666">
        <w:rPr>
          <w:rFonts w:ascii="Times New Roman" w:hAnsi="Times New Roman"/>
          <w:bCs/>
          <w:sz w:val="24"/>
          <w:szCs w:val="24"/>
        </w:rPr>
        <w:t>методам</w:t>
      </w:r>
      <w:r w:rsidRPr="00BA2666">
        <w:rPr>
          <w:rFonts w:ascii="Times New Roman" w:hAnsi="Times New Roman"/>
          <w:sz w:val="24"/>
          <w:szCs w:val="24"/>
        </w:rPr>
        <w:t xml:space="preserve"> </w:t>
      </w:r>
      <w:r w:rsidRPr="00BA2666">
        <w:rPr>
          <w:rFonts w:ascii="Times New Roman" w:hAnsi="Times New Roman"/>
          <w:bCs/>
          <w:sz w:val="24"/>
          <w:szCs w:val="24"/>
        </w:rPr>
        <w:t>бюджетного</w:t>
      </w:r>
      <w:r w:rsidRPr="00BA2666">
        <w:rPr>
          <w:rFonts w:ascii="Times New Roman" w:hAnsi="Times New Roman"/>
          <w:sz w:val="24"/>
          <w:szCs w:val="24"/>
        </w:rPr>
        <w:t xml:space="preserve"> </w:t>
      </w:r>
      <w:r w:rsidRPr="00BA2666">
        <w:rPr>
          <w:rFonts w:ascii="Times New Roman" w:hAnsi="Times New Roman"/>
          <w:bCs/>
          <w:sz w:val="24"/>
          <w:szCs w:val="24"/>
        </w:rPr>
        <w:t>планирования</w:t>
      </w:r>
      <w:r w:rsidRPr="00BA2666">
        <w:rPr>
          <w:rFonts w:ascii="Times New Roman" w:hAnsi="Times New Roman"/>
          <w:sz w:val="24"/>
          <w:szCs w:val="24"/>
        </w:rPr>
        <w:t xml:space="preserve">, обеспечивающим прямую взаимосвязь между распределением </w:t>
      </w:r>
      <w:r w:rsidRPr="00BA2666">
        <w:rPr>
          <w:rFonts w:ascii="Times New Roman" w:hAnsi="Times New Roman"/>
          <w:bCs/>
          <w:sz w:val="24"/>
          <w:szCs w:val="24"/>
        </w:rPr>
        <w:t>бюджетных</w:t>
      </w:r>
      <w:r w:rsidRPr="00BA2666">
        <w:rPr>
          <w:rFonts w:ascii="Times New Roman" w:hAnsi="Times New Roman"/>
          <w:sz w:val="24"/>
          <w:szCs w:val="24"/>
        </w:rPr>
        <w:t xml:space="preserve"> ресурсов и фактическими или </w:t>
      </w:r>
      <w:r w:rsidRPr="00BA2666">
        <w:rPr>
          <w:rFonts w:ascii="Times New Roman" w:hAnsi="Times New Roman"/>
          <w:bCs/>
          <w:sz w:val="24"/>
          <w:szCs w:val="24"/>
        </w:rPr>
        <w:t>планируемыми</w:t>
      </w:r>
      <w:r w:rsidRPr="00BA2666">
        <w:rPr>
          <w:rFonts w:ascii="Times New Roman" w:hAnsi="Times New Roman"/>
          <w:sz w:val="24"/>
          <w:szCs w:val="24"/>
        </w:rPr>
        <w:t xml:space="preserve"> результатами их использования в соответствии с установленными приоритетами города.</w:t>
      </w:r>
    </w:p>
    <w:p w:rsidR="00E32D19" w:rsidRPr="00BA2666" w:rsidRDefault="00E32D19" w:rsidP="00BA2666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2666">
        <w:rPr>
          <w:rFonts w:ascii="Times New Roman" w:eastAsia="Times New Roman" w:hAnsi="Times New Roman"/>
          <w:sz w:val="24"/>
          <w:szCs w:val="24"/>
          <w:lang w:eastAsia="ru-RU"/>
        </w:rPr>
        <w:t>Городские целевые программ, приняты  в соответствии с рекомендациями  нормативно-правовых актов Российской Федерации и Ярославской области, утверждающих федеральных целевых и региональных целевых программ. В рамках 2</w:t>
      </w:r>
      <w:r w:rsidR="00D17AB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BA2666">
        <w:rPr>
          <w:rFonts w:ascii="Times New Roman" w:eastAsia="Times New Roman" w:hAnsi="Times New Roman"/>
          <w:sz w:val="24"/>
          <w:szCs w:val="24"/>
          <w:lang w:eastAsia="ru-RU"/>
        </w:rPr>
        <w:t xml:space="preserve"> из них, осуществлялось </w:t>
      </w:r>
      <w:proofErr w:type="spellStart"/>
      <w:r w:rsidRPr="00BA2666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BA2666">
        <w:rPr>
          <w:rFonts w:ascii="Times New Roman" w:eastAsia="Times New Roman" w:hAnsi="Times New Roman"/>
          <w:sz w:val="24"/>
          <w:szCs w:val="24"/>
          <w:lang w:eastAsia="ru-RU"/>
        </w:rPr>
        <w:t xml:space="preserve"> субсидий, поступающих из федерального и областного бюджетов. Общая сумма освоенных таким образом федеральных средств (с учетом средств фонда содействия реформированию ЖКХ) составила </w:t>
      </w:r>
      <w:r w:rsid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82 236,2 </w:t>
      </w:r>
      <w:r w:rsidRPr="00BA2666">
        <w:rPr>
          <w:rFonts w:ascii="Times New Roman" w:eastAsia="Times New Roman" w:hAnsi="Times New Roman"/>
          <w:sz w:val="24"/>
          <w:szCs w:val="24"/>
          <w:lang w:eastAsia="ru-RU"/>
        </w:rPr>
        <w:t xml:space="preserve">тыс. рублей; областного бюджета – </w:t>
      </w:r>
      <w:r w:rsidR="00D17AB0" w:rsidRPr="00D17AB0">
        <w:rPr>
          <w:rFonts w:ascii="Times New Roman" w:eastAsia="Times New Roman" w:hAnsi="Times New Roman"/>
          <w:sz w:val="24"/>
          <w:szCs w:val="24"/>
          <w:lang w:eastAsia="ru-RU"/>
        </w:rPr>
        <w:t>445</w:t>
      </w:r>
      <w:r w:rsidR="00D17AB0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D17AB0" w:rsidRPr="00D17AB0">
        <w:rPr>
          <w:rFonts w:ascii="Times New Roman" w:eastAsia="Times New Roman" w:hAnsi="Times New Roman"/>
          <w:sz w:val="24"/>
          <w:szCs w:val="24"/>
          <w:lang w:eastAsia="ru-RU"/>
        </w:rPr>
        <w:t>554</w:t>
      </w:r>
      <w:r w:rsid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,0 </w:t>
      </w:r>
      <w:r w:rsidRPr="00BA2666">
        <w:rPr>
          <w:rFonts w:ascii="Times New Roman" w:eastAsia="Times New Roman" w:hAnsi="Times New Roman"/>
          <w:sz w:val="24"/>
          <w:szCs w:val="24"/>
          <w:lang w:eastAsia="ru-RU"/>
        </w:rPr>
        <w:t xml:space="preserve">тыс. рублей. Финансирования из средств городского бюджета на указанные программы составила  </w:t>
      </w:r>
      <w:r w:rsidR="00D17AB0">
        <w:rPr>
          <w:rFonts w:ascii="Times New Roman" w:eastAsia="Times New Roman" w:hAnsi="Times New Roman"/>
          <w:sz w:val="24"/>
          <w:szCs w:val="24"/>
          <w:lang w:eastAsia="ru-RU"/>
        </w:rPr>
        <w:t>326 799,9 тыс. руб.</w:t>
      </w:r>
    </w:p>
    <w:p w:rsidR="00E32D19" w:rsidRPr="00E32D19" w:rsidRDefault="00E32D19" w:rsidP="00F92850">
      <w:pPr>
        <w:spacing w:after="0" w:line="240" w:lineRule="auto"/>
        <w:ind w:right="60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003D" w:rsidRDefault="007E1FB7" w:rsidP="00E32D19">
      <w:r>
        <w:rPr>
          <w:noProof/>
          <w:lang w:eastAsia="ru-RU"/>
        </w:rPr>
        <w:lastRenderedPageBreak/>
        <w:drawing>
          <wp:inline distT="0" distB="0" distL="0" distR="0" wp14:anchorId="21122C1D" wp14:editId="2EBE61A4">
            <wp:extent cx="5410200" cy="3634740"/>
            <wp:effectExtent l="0" t="0" r="19050" b="2286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32D19" w:rsidRPr="00D17AB0" w:rsidRDefault="00E32D19" w:rsidP="00411BE5">
      <w:pPr>
        <w:tabs>
          <w:tab w:val="left" w:pos="9355"/>
        </w:tabs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программ в истекшем году осуществлялась по </w:t>
      </w:r>
      <w:r w:rsidR="00083810">
        <w:rPr>
          <w:rFonts w:ascii="Times New Roman" w:eastAsia="Times New Roman" w:hAnsi="Times New Roman"/>
          <w:sz w:val="24"/>
          <w:szCs w:val="24"/>
          <w:lang w:eastAsia="ru-RU"/>
        </w:rPr>
        <w:t>шести</w:t>
      </w:r>
      <w:bookmarkStart w:id="0" w:name="_GoBack"/>
      <w:bookmarkEnd w:id="0"/>
      <w:r w:rsidRPr="00D17A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основным направлениям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32D19" w:rsidRPr="00D17AB0" w:rsidRDefault="00E32D19" w:rsidP="00411BE5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- физическая культура и спорт – </w:t>
      </w:r>
      <w:r w:rsidR="00411BE5">
        <w:rPr>
          <w:rFonts w:ascii="Times New Roman" w:eastAsia="Times New Roman" w:hAnsi="Times New Roman"/>
          <w:sz w:val="24"/>
          <w:szCs w:val="24"/>
          <w:lang w:eastAsia="ru-RU"/>
        </w:rPr>
        <w:t>одна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 w:rsidR="00411BE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32D19" w:rsidRPr="00D17AB0" w:rsidRDefault="00E32D19" w:rsidP="00411BE5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- образование и молодежная политика – </w:t>
      </w:r>
      <w:r w:rsidR="007E1FB7">
        <w:rPr>
          <w:rFonts w:ascii="Times New Roman" w:eastAsia="Times New Roman" w:hAnsi="Times New Roman"/>
          <w:sz w:val="24"/>
          <w:szCs w:val="24"/>
          <w:lang w:eastAsia="ru-RU"/>
        </w:rPr>
        <w:t>пять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программ;</w:t>
      </w:r>
    </w:p>
    <w:p w:rsidR="00E32D19" w:rsidRPr="00D17AB0" w:rsidRDefault="00E32D19" w:rsidP="00411BE5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- социальная политика – </w:t>
      </w:r>
      <w:r w:rsidR="007E1FB7">
        <w:rPr>
          <w:rFonts w:ascii="Times New Roman" w:eastAsia="Times New Roman" w:hAnsi="Times New Roman"/>
          <w:sz w:val="24"/>
          <w:szCs w:val="24"/>
          <w:lang w:eastAsia="ru-RU"/>
        </w:rPr>
        <w:t>семь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программ;</w:t>
      </w:r>
    </w:p>
    <w:p w:rsidR="00E32D19" w:rsidRPr="00D17AB0" w:rsidRDefault="00E32D19" w:rsidP="00411BE5">
      <w:pPr>
        <w:spacing w:after="0" w:line="240" w:lineRule="auto"/>
        <w:ind w:left="426"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>- культура и туризм – две программы;</w:t>
      </w:r>
    </w:p>
    <w:p w:rsidR="00E32D19" w:rsidRPr="00D17AB0" w:rsidRDefault="00E32D19" w:rsidP="00411BE5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- жилищно-коммунальное хозяйство и градостроительство – </w:t>
      </w:r>
      <w:r w:rsidR="007E1FB7">
        <w:rPr>
          <w:rFonts w:ascii="Times New Roman" w:eastAsia="Times New Roman" w:hAnsi="Times New Roman"/>
          <w:sz w:val="24"/>
          <w:szCs w:val="24"/>
          <w:lang w:eastAsia="ru-RU"/>
        </w:rPr>
        <w:t>семь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программ;</w:t>
      </w:r>
    </w:p>
    <w:p w:rsidR="00E32D19" w:rsidRPr="00D17AB0" w:rsidRDefault="00E32D19" w:rsidP="00411BE5">
      <w:pPr>
        <w:tabs>
          <w:tab w:val="left" w:pos="9355"/>
        </w:tabs>
        <w:spacing w:after="0" w:line="240" w:lineRule="auto"/>
        <w:ind w:left="900" w:right="-1" w:hanging="4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11B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прочие – </w:t>
      </w:r>
      <w:r w:rsidR="007E1FB7">
        <w:rPr>
          <w:rFonts w:ascii="Times New Roman" w:eastAsia="Times New Roman" w:hAnsi="Times New Roman"/>
          <w:sz w:val="24"/>
          <w:szCs w:val="24"/>
          <w:lang w:eastAsia="ru-RU"/>
        </w:rPr>
        <w:t>восемь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программы.</w:t>
      </w:r>
    </w:p>
    <w:p w:rsidR="00E32D19" w:rsidRDefault="00E32D19" w:rsidP="00411BE5">
      <w:pPr>
        <w:spacing w:after="0" w:line="240" w:lineRule="auto"/>
        <w:ind w:right="-1"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Наибольший удельный вес в расходах городского бюджета на финансирование программ приходится на сферы:  образование и молодежная политика больше половины программных расходов; </w:t>
      </w:r>
    </w:p>
    <w:p w:rsidR="007E1FB7" w:rsidRPr="00D17AB0" w:rsidRDefault="007E1FB7" w:rsidP="007E1FB7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на социальную политику – 19%;</w:t>
      </w:r>
    </w:p>
    <w:p w:rsidR="00E32D19" w:rsidRPr="00D17AB0" w:rsidRDefault="00E32D19" w:rsidP="00411BE5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на физическую культуру и спорт приходится </w:t>
      </w:r>
      <w:r w:rsidR="007E1FB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>%  программных расходов;</w:t>
      </w:r>
    </w:p>
    <w:p w:rsidR="00E32D19" w:rsidRPr="00D17AB0" w:rsidRDefault="00E32D19" w:rsidP="00411BE5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>на жилищно-коммунальное хозяйство  –1</w:t>
      </w:r>
      <w:r w:rsidR="007E1FB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>%</w:t>
      </w:r>
    </w:p>
    <w:p w:rsidR="00E32D19" w:rsidRPr="00D17AB0" w:rsidRDefault="00E32D19" w:rsidP="00411BE5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все остальные сферы приходится немного больше 1%. </w:t>
      </w:r>
    </w:p>
    <w:p w:rsidR="00E32D19" w:rsidRPr="00D17AB0" w:rsidRDefault="00E32D19" w:rsidP="00411BE5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>Данное распределение связано с реализацией Управлением образования крупн</w:t>
      </w:r>
      <w:r w:rsidR="007E1FB7">
        <w:rPr>
          <w:rFonts w:ascii="Times New Roman" w:eastAsia="Times New Roman" w:hAnsi="Times New Roman"/>
          <w:sz w:val="24"/>
          <w:szCs w:val="24"/>
          <w:lang w:eastAsia="ru-RU"/>
        </w:rPr>
        <w:t xml:space="preserve">ой 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>ведомственн</w:t>
      </w:r>
      <w:r w:rsidR="007E1FB7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</w:t>
      </w:r>
      <w:r w:rsidR="007E1FB7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 w:rsidR="007E1FB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2D19" w:rsidRPr="00D17AB0" w:rsidRDefault="00E32D19" w:rsidP="00411BE5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Подробная информация о выполнении программ по основным блокам приведена в таблице в виде приложения 1 </w:t>
      </w:r>
      <w:r w:rsidRPr="00D17AB0">
        <w:rPr>
          <w:rFonts w:ascii="Times New Roman" w:eastAsia="Times New Roman" w:hAnsi="Times New Roman"/>
          <w:sz w:val="24"/>
          <w:szCs w:val="24"/>
          <w:lang w:val="en-US" w:eastAsia="ru-RU"/>
        </w:rPr>
        <w:t>Excel</w:t>
      </w: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2D19" w:rsidRPr="00D17AB0" w:rsidRDefault="00E32D19" w:rsidP="00411BE5">
      <w:pPr>
        <w:spacing w:after="0" w:line="240" w:lineRule="auto"/>
        <w:ind w:left="900" w:right="60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32D19" w:rsidRPr="00D17AB0" w:rsidRDefault="00E32D19" w:rsidP="00411BE5">
      <w:pPr>
        <w:spacing w:after="0" w:line="240" w:lineRule="auto"/>
        <w:ind w:right="600" w:firstLine="426"/>
        <w:jc w:val="center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 w:rsidRPr="00D17AB0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Pr="00D17A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Общая оценка результативности и эффективности программ</w:t>
      </w:r>
    </w:p>
    <w:p w:rsidR="00E32D19" w:rsidRPr="00D17AB0" w:rsidRDefault="00E32D19" w:rsidP="00411BE5">
      <w:pPr>
        <w:spacing w:after="0" w:line="240" w:lineRule="auto"/>
        <w:ind w:left="900" w:right="600" w:firstLine="426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</w:p>
    <w:p w:rsidR="00E32D19" w:rsidRPr="00167C42" w:rsidRDefault="00E32D19" w:rsidP="00411BE5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7C42">
        <w:rPr>
          <w:rFonts w:ascii="Times New Roman" w:eastAsia="Times New Roman" w:hAnsi="Times New Roman"/>
          <w:sz w:val="24"/>
          <w:szCs w:val="24"/>
          <w:lang w:eastAsia="ru-RU"/>
        </w:rPr>
        <w:t>Уровень выполнения плановых значений целевых индикаторов и показателей результативности городских целевых программ в 201</w:t>
      </w:r>
      <w:r w:rsidR="007576B9" w:rsidRPr="00167C4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167C4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составил 96%, что больше прошлого отчетного периода на 10,5%. По  </w:t>
      </w:r>
      <w:r w:rsidR="002B35D6" w:rsidRPr="00167C42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167C42" w:rsidRPr="00167C42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167C42">
        <w:rPr>
          <w:rFonts w:ascii="Times New Roman" w:eastAsia="Times New Roman" w:hAnsi="Times New Roman"/>
          <w:sz w:val="24"/>
          <w:szCs w:val="24"/>
          <w:lang w:eastAsia="ru-RU"/>
        </w:rPr>
        <w:t xml:space="preserve">  из </w:t>
      </w:r>
      <w:r w:rsidR="007576B9" w:rsidRPr="00167C4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167C42" w:rsidRPr="00167C42">
        <w:rPr>
          <w:rFonts w:ascii="Times New Roman" w:eastAsia="Times New Roman" w:hAnsi="Times New Roman"/>
          <w:sz w:val="24"/>
          <w:szCs w:val="24"/>
          <w:lang w:eastAsia="ru-RU"/>
        </w:rPr>
        <w:t>69</w:t>
      </w:r>
      <w:r w:rsidRPr="00167C42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целевых индикаторов, по которым к моменту отчета  ответственными исполнителями представлена информация, плановые значения достигнуты или  выполнены более чем на 100%.</w:t>
      </w:r>
    </w:p>
    <w:p w:rsidR="00E32D19" w:rsidRPr="00D17AB0" w:rsidRDefault="00E32D19" w:rsidP="00411BE5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7C42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="002B35D6" w:rsidRPr="00167C4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67C42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показателям,  из </w:t>
      </w:r>
      <w:r w:rsidR="002B35D6" w:rsidRPr="00167C4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167C42" w:rsidRPr="00167C42">
        <w:rPr>
          <w:rFonts w:ascii="Times New Roman" w:eastAsia="Times New Roman" w:hAnsi="Times New Roman"/>
          <w:sz w:val="24"/>
          <w:szCs w:val="24"/>
          <w:lang w:eastAsia="ru-RU"/>
        </w:rPr>
        <w:t>69</w:t>
      </w:r>
      <w:r w:rsidRPr="00167C42">
        <w:rPr>
          <w:rFonts w:ascii="Times New Roman" w:eastAsia="Times New Roman" w:hAnsi="Times New Roman"/>
          <w:sz w:val="24"/>
          <w:szCs w:val="24"/>
          <w:lang w:eastAsia="ru-RU"/>
        </w:rPr>
        <w:t xml:space="preserve"> степень выполнения плана определить невозможно из-за отсутствия информации. В сравнении с 201</w:t>
      </w:r>
      <w:r w:rsidR="002B35D6" w:rsidRPr="00167C4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67C4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годом количество целевых индикаторов </w:t>
      </w:r>
      <w:r w:rsidR="002B35D6" w:rsidRPr="00167C42">
        <w:rPr>
          <w:rFonts w:ascii="Times New Roman" w:eastAsia="Times New Roman" w:hAnsi="Times New Roman"/>
          <w:sz w:val="24"/>
          <w:szCs w:val="24"/>
          <w:lang w:eastAsia="ru-RU"/>
        </w:rPr>
        <w:t>уменьшилось</w:t>
      </w:r>
      <w:r w:rsidRPr="00167C42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167C42" w:rsidRPr="00167C4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167C42">
        <w:rPr>
          <w:rFonts w:ascii="Times New Roman" w:eastAsia="Times New Roman" w:hAnsi="Times New Roman"/>
          <w:sz w:val="24"/>
          <w:szCs w:val="24"/>
          <w:lang w:eastAsia="ru-RU"/>
        </w:rPr>
        <w:t>, а количество не представленных уменьшилось на 4.</w:t>
      </w:r>
    </w:p>
    <w:p w:rsidR="00E32D19" w:rsidRPr="00D17AB0" w:rsidRDefault="00E32D19" w:rsidP="00411BE5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7A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Оценка эффективности ведомственных и долгосрочных целевых программ, проведённая в соответствии с Постановлением Мэра г. Переславля-Залесского от 01.12.2008 года №1367 «Об утверждении порядка разработки, принятия и реализации целевых программ», представлена в приложении </w:t>
      </w:r>
      <w:r w:rsidR="002B35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2B35D6" w:rsidRPr="002B35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Рейтинг целевых программ по итоговой сводной оценке баллов за 2012 год</w:t>
      </w:r>
      <w:r w:rsidR="002B35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Pr="00D17A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32D19" w:rsidRDefault="00E32D19" w:rsidP="00E32D19"/>
    <w:sectPr w:rsidR="00E32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48F"/>
    <w:rsid w:val="00000282"/>
    <w:rsid w:val="00002513"/>
    <w:rsid w:val="00004141"/>
    <w:rsid w:val="00017E89"/>
    <w:rsid w:val="000306C0"/>
    <w:rsid w:val="0003725B"/>
    <w:rsid w:val="0004003D"/>
    <w:rsid w:val="0005048F"/>
    <w:rsid w:val="00054144"/>
    <w:rsid w:val="0006793E"/>
    <w:rsid w:val="000712A2"/>
    <w:rsid w:val="00083810"/>
    <w:rsid w:val="000A1C5B"/>
    <w:rsid w:val="000A31B2"/>
    <w:rsid w:val="000A63DB"/>
    <w:rsid w:val="000A72F3"/>
    <w:rsid w:val="000B6366"/>
    <w:rsid w:val="000C272F"/>
    <w:rsid w:val="000C7C71"/>
    <w:rsid w:val="000D0C0E"/>
    <w:rsid w:val="000D60E7"/>
    <w:rsid w:val="000E5FBA"/>
    <w:rsid w:val="000F5555"/>
    <w:rsid w:val="001048F4"/>
    <w:rsid w:val="00111032"/>
    <w:rsid w:val="00114F28"/>
    <w:rsid w:val="00115541"/>
    <w:rsid w:val="00121E9D"/>
    <w:rsid w:val="00125172"/>
    <w:rsid w:val="00130BCC"/>
    <w:rsid w:val="00137665"/>
    <w:rsid w:val="00141301"/>
    <w:rsid w:val="00147559"/>
    <w:rsid w:val="001506B1"/>
    <w:rsid w:val="00152517"/>
    <w:rsid w:val="00153273"/>
    <w:rsid w:val="00163CB1"/>
    <w:rsid w:val="001667E5"/>
    <w:rsid w:val="00166A37"/>
    <w:rsid w:val="00167C42"/>
    <w:rsid w:val="00172C20"/>
    <w:rsid w:val="00183FCE"/>
    <w:rsid w:val="00185F08"/>
    <w:rsid w:val="00192B04"/>
    <w:rsid w:val="0019374B"/>
    <w:rsid w:val="001B24E0"/>
    <w:rsid w:val="001B26BC"/>
    <w:rsid w:val="001B4EC7"/>
    <w:rsid w:val="001B6054"/>
    <w:rsid w:val="001C1B05"/>
    <w:rsid w:val="001C3A6F"/>
    <w:rsid w:val="001C3BDE"/>
    <w:rsid w:val="001D0020"/>
    <w:rsid w:val="001E093A"/>
    <w:rsid w:val="001E12AF"/>
    <w:rsid w:val="001E6F62"/>
    <w:rsid w:val="001E70E9"/>
    <w:rsid w:val="001F757B"/>
    <w:rsid w:val="0020416B"/>
    <w:rsid w:val="002166B6"/>
    <w:rsid w:val="0021745F"/>
    <w:rsid w:val="00217A98"/>
    <w:rsid w:val="00217D6A"/>
    <w:rsid w:val="002202A2"/>
    <w:rsid w:val="002274C3"/>
    <w:rsid w:val="002378AF"/>
    <w:rsid w:val="00247CD8"/>
    <w:rsid w:val="00247F9B"/>
    <w:rsid w:val="0025084D"/>
    <w:rsid w:val="00251B7D"/>
    <w:rsid w:val="00264095"/>
    <w:rsid w:val="0026602A"/>
    <w:rsid w:val="00266734"/>
    <w:rsid w:val="002729F7"/>
    <w:rsid w:val="00286B90"/>
    <w:rsid w:val="00287A10"/>
    <w:rsid w:val="00290951"/>
    <w:rsid w:val="00292A7E"/>
    <w:rsid w:val="0029306F"/>
    <w:rsid w:val="002A1E6C"/>
    <w:rsid w:val="002B35D6"/>
    <w:rsid w:val="002B3CDA"/>
    <w:rsid w:val="002C1DDA"/>
    <w:rsid w:val="002E6724"/>
    <w:rsid w:val="002F4CFA"/>
    <w:rsid w:val="00304B41"/>
    <w:rsid w:val="0032030C"/>
    <w:rsid w:val="0032074A"/>
    <w:rsid w:val="00326823"/>
    <w:rsid w:val="0033090B"/>
    <w:rsid w:val="00331A8F"/>
    <w:rsid w:val="00331F84"/>
    <w:rsid w:val="003537E8"/>
    <w:rsid w:val="003671C2"/>
    <w:rsid w:val="00370E16"/>
    <w:rsid w:val="00373C82"/>
    <w:rsid w:val="00375232"/>
    <w:rsid w:val="0037662C"/>
    <w:rsid w:val="00390912"/>
    <w:rsid w:val="003965EB"/>
    <w:rsid w:val="003A2150"/>
    <w:rsid w:val="003B0D80"/>
    <w:rsid w:val="003B6920"/>
    <w:rsid w:val="003C7CF5"/>
    <w:rsid w:val="003D1C21"/>
    <w:rsid w:val="003D729B"/>
    <w:rsid w:val="0040286E"/>
    <w:rsid w:val="00406797"/>
    <w:rsid w:val="00411BE5"/>
    <w:rsid w:val="00414C08"/>
    <w:rsid w:val="00421911"/>
    <w:rsid w:val="00421D02"/>
    <w:rsid w:val="0042376D"/>
    <w:rsid w:val="0043288D"/>
    <w:rsid w:val="004330C9"/>
    <w:rsid w:val="00441493"/>
    <w:rsid w:val="00447E9F"/>
    <w:rsid w:val="00450E00"/>
    <w:rsid w:val="00451338"/>
    <w:rsid w:val="00463065"/>
    <w:rsid w:val="004639EB"/>
    <w:rsid w:val="0046507C"/>
    <w:rsid w:val="004667B0"/>
    <w:rsid w:val="00473DF2"/>
    <w:rsid w:val="00477062"/>
    <w:rsid w:val="00487428"/>
    <w:rsid w:val="004927E2"/>
    <w:rsid w:val="00493D82"/>
    <w:rsid w:val="00495334"/>
    <w:rsid w:val="004A1BC0"/>
    <w:rsid w:val="004A4324"/>
    <w:rsid w:val="004A5A22"/>
    <w:rsid w:val="004C11D2"/>
    <w:rsid w:val="004C22CB"/>
    <w:rsid w:val="004C2C78"/>
    <w:rsid w:val="004D77F5"/>
    <w:rsid w:val="004E087F"/>
    <w:rsid w:val="004E2DBE"/>
    <w:rsid w:val="004E735C"/>
    <w:rsid w:val="004F1348"/>
    <w:rsid w:val="004F337F"/>
    <w:rsid w:val="00501229"/>
    <w:rsid w:val="00503592"/>
    <w:rsid w:val="00504806"/>
    <w:rsid w:val="00511B00"/>
    <w:rsid w:val="00516F18"/>
    <w:rsid w:val="00530D22"/>
    <w:rsid w:val="00546E3F"/>
    <w:rsid w:val="005473C4"/>
    <w:rsid w:val="0055500A"/>
    <w:rsid w:val="0057026C"/>
    <w:rsid w:val="00583E03"/>
    <w:rsid w:val="00585321"/>
    <w:rsid w:val="00592084"/>
    <w:rsid w:val="005955D7"/>
    <w:rsid w:val="00597D4B"/>
    <w:rsid w:val="005A17D2"/>
    <w:rsid w:val="005B504D"/>
    <w:rsid w:val="005C14FD"/>
    <w:rsid w:val="005C224C"/>
    <w:rsid w:val="005C65C0"/>
    <w:rsid w:val="005D02E1"/>
    <w:rsid w:val="005D1656"/>
    <w:rsid w:val="005E37F8"/>
    <w:rsid w:val="005E6594"/>
    <w:rsid w:val="005F0B76"/>
    <w:rsid w:val="005F3AC9"/>
    <w:rsid w:val="0061366A"/>
    <w:rsid w:val="00620FD9"/>
    <w:rsid w:val="006435F8"/>
    <w:rsid w:val="00645E33"/>
    <w:rsid w:val="00656BF0"/>
    <w:rsid w:val="00664496"/>
    <w:rsid w:val="00671ED5"/>
    <w:rsid w:val="006724A3"/>
    <w:rsid w:val="006865D9"/>
    <w:rsid w:val="00694FA3"/>
    <w:rsid w:val="0069672E"/>
    <w:rsid w:val="006A2364"/>
    <w:rsid w:val="006C1685"/>
    <w:rsid w:val="006E34D9"/>
    <w:rsid w:val="006E4B72"/>
    <w:rsid w:val="006E61AA"/>
    <w:rsid w:val="006E7AD1"/>
    <w:rsid w:val="006F0190"/>
    <w:rsid w:val="006F7C05"/>
    <w:rsid w:val="0070558E"/>
    <w:rsid w:val="00717E3F"/>
    <w:rsid w:val="0073624B"/>
    <w:rsid w:val="00750A63"/>
    <w:rsid w:val="00753D53"/>
    <w:rsid w:val="007569C3"/>
    <w:rsid w:val="007576B9"/>
    <w:rsid w:val="0076089A"/>
    <w:rsid w:val="00761F7E"/>
    <w:rsid w:val="00770765"/>
    <w:rsid w:val="00781BC4"/>
    <w:rsid w:val="007831C6"/>
    <w:rsid w:val="007876F2"/>
    <w:rsid w:val="007931FD"/>
    <w:rsid w:val="007A6E6C"/>
    <w:rsid w:val="007A70DD"/>
    <w:rsid w:val="007A72FF"/>
    <w:rsid w:val="007A7CA9"/>
    <w:rsid w:val="007B0332"/>
    <w:rsid w:val="007B331A"/>
    <w:rsid w:val="007B3F65"/>
    <w:rsid w:val="007C06C9"/>
    <w:rsid w:val="007E1FB7"/>
    <w:rsid w:val="007E7B0A"/>
    <w:rsid w:val="00800E77"/>
    <w:rsid w:val="00804E39"/>
    <w:rsid w:val="0080739F"/>
    <w:rsid w:val="0082395A"/>
    <w:rsid w:val="00826402"/>
    <w:rsid w:val="00831EBF"/>
    <w:rsid w:val="008417A8"/>
    <w:rsid w:val="00857B32"/>
    <w:rsid w:val="00857FDC"/>
    <w:rsid w:val="00860455"/>
    <w:rsid w:val="00863D14"/>
    <w:rsid w:val="008676DD"/>
    <w:rsid w:val="00873A24"/>
    <w:rsid w:val="0088113C"/>
    <w:rsid w:val="00884120"/>
    <w:rsid w:val="00884D33"/>
    <w:rsid w:val="00886480"/>
    <w:rsid w:val="00887960"/>
    <w:rsid w:val="008A3812"/>
    <w:rsid w:val="008B5BC5"/>
    <w:rsid w:val="008B5E1A"/>
    <w:rsid w:val="008B7F08"/>
    <w:rsid w:val="008C4081"/>
    <w:rsid w:val="008D2FAD"/>
    <w:rsid w:val="008F5307"/>
    <w:rsid w:val="008F62B6"/>
    <w:rsid w:val="009072B3"/>
    <w:rsid w:val="0091160A"/>
    <w:rsid w:val="0091190E"/>
    <w:rsid w:val="00934A89"/>
    <w:rsid w:val="00954CCC"/>
    <w:rsid w:val="0096350F"/>
    <w:rsid w:val="009642C2"/>
    <w:rsid w:val="009764A4"/>
    <w:rsid w:val="00984C0C"/>
    <w:rsid w:val="00986576"/>
    <w:rsid w:val="00990452"/>
    <w:rsid w:val="009944D2"/>
    <w:rsid w:val="00997E6B"/>
    <w:rsid w:val="009A47F7"/>
    <w:rsid w:val="009A7E07"/>
    <w:rsid w:val="009B2063"/>
    <w:rsid w:val="009B6350"/>
    <w:rsid w:val="009D262A"/>
    <w:rsid w:val="009D3269"/>
    <w:rsid w:val="009D5300"/>
    <w:rsid w:val="009E3E11"/>
    <w:rsid w:val="009E566A"/>
    <w:rsid w:val="009E670C"/>
    <w:rsid w:val="009E6A60"/>
    <w:rsid w:val="009F6A6D"/>
    <w:rsid w:val="00A15529"/>
    <w:rsid w:val="00A27874"/>
    <w:rsid w:val="00A311DB"/>
    <w:rsid w:val="00A327C9"/>
    <w:rsid w:val="00A3712F"/>
    <w:rsid w:val="00A427EC"/>
    <w:rsid w:val="00A43122"/>
    <w:rsid w:val="00A45309"/>
    <w:rsid w:val="00A542E6"/>
    <w:rsid w:val="00A55888"/>
    <w:rsid w:val="00A57EE8"/>
    <w:rsid w:val="00A7313B"/>
    <w:rsid w:val="00A8017B"/>
    <w:rsid w:val="00A87898"/>
    <w:rsid w:val="00AA0B5A"/>
    <w:rsid w:val="00AB316F"/>
    <w:rsid w:val="00AC0AB0"/>
    <w:rsid w:val="00AC162A"/>
    <w:rsid w:val="00AC28DD"/>
    <w:rsid w:val="00AC57FA"/>
    <w:rsid w:val="00AC5C3F"/>
    <w:rsid w:val="00AE211F"/>
    <w:rsid w:val="00AE3218"/>
    <w:rsid w:val="00AE4EF8"/>
    <w:rsid w:val="00AF7DEE"/>
    <w:rsid w:val="00B06A2B"/>
    <w:rsid w:val="00B16992"/>
    <w:rsid w:val="00B3173F"/>
    <w:rsid w:val="00B420BC"/>
    <w:rsid w:val="00B4438E"/>
    <w:rsid w:val="00B51075"/>
    <w:rsid w:val="00B538C5"/>
    <w:rsid w:val="00B740AF"/>
    <w:rsid w:val="00B8157F"/>
    <w:rsid w:val="00B847CC"/>
    <w:rsid w:val="00B93F1A"/>
    <w:rsid w:val="00BA209F"/>
    <w:rsid w:val="00BA2666"/>
    <w:rsid w:val="00BA560B"/>
    <w:rsid w:val="00BB3765"/>
    <w:rsid w:val="00BB41C3"/>
    <w:rsid w:val="00BC100D"/>
    <w:rsid w:val="00BC3C09"/>
    <w:rsid w:val="00BD2499"/>
    <w:rsid w:val="00BE0E01"/>
    <w:rsid w:val="00BE7BCF"/>
    <w:rsid w:val="00BF2B65"/>
    <w:rsid w:val="00BF34C3"/>
    <w:rsid w:val="00C10B39"/>
    <w:rsid w:val="00C13F67"/>
    <w:rsid w:val="00C1510E"/>
    <w:rsid w:val="00C159BD"/>
    <w:rsid w:val="00C24C47"/>
    <w:rsid w:val="00C60EBD"/>
    <w:rsid w:val="00C71926"/>
    <w:rsid w:val="00C75E7D"/>
    <w:rsid w:val="00C8656B"/>
    <w:rsid w:val="00CA0B7B"/>
    <w:rsid w:val="00CB04D0"/>
    <w:rsid w:val="00CB297F"/>
    <w:rsid w:val="00CC1BDC"/>
    <w:rsid w:val="00CC5844"/>
    <w:rsid w:val="00CD2C69"/>
    <w:rsid w:val="00CD4D55"/>
    <w:rsid w:val="00CE1060"/>
    <w:rsid w:val="00CE22B5"/>
    <w:rsid w:val="00CF398D"/>
    <w:rsid w:val="00D05F2E"/>
    <w:rsid w:val="00D17AB0"/>
    <w:rsid w:val="00D22730"/>
    <w:rsid w:val="00D22C6B"/>
    <w:rsid w:val="00D27FFE"/>
    <w:rsid w:val="00D30EED"/>
    <w:rsid w:val="00D360F4"/>
    <w:rsid w:val="00D37B87"/>
    <w:rsid w:val="00D44696"/>
    <w:rsid w:val="00D45972"/>
    <w:rsid w:val="00D46BCE"/>
    <w:rsid w:val="00D509F5"/>
    <w:rsid w:val="00D67F0B"/>
    <w:rsid w:val="00D76FCF"/>
    <w:rsid w:val="00D816F4"/>
    <w:rsid w:val="00D81730"/>
    <w:rsid w:val="00D84647"/>
    <w:rsid w:val="00D85630"/>
    <w:rsid w:val="00D90908"/>
    <w:rsid w:val="00D97A8C"/>
    <w:rsid w:val="00DA6121"/>
    <w:rsid w:val="00DC238C"/>
    <w:rsid w:val="00DC6196"/>
    <w:rsid w:val="00DE4AAE"/>
    <w:rsid w:val="00DE5A13"/>
    <w:rsid w:val="00DE60D7"/>
    <w:rsid w:val="00DE704A"/>
    <w:rsid w:val="00DF78B5"/>
    <w:rsid w:val="00E038D2"/>
    <w:rsid w:val="00E12E0D"/>
    <w:rsid w:val="00E144CA"/>
    <w:rsid w:val="00E1737A"/>
    <w:rsid w:val="00E27BED"/>
    <w:rsid w:val="00E32D19"/>
    <w:rsid w:val="00E33471"/>
    <w:rsid w:val="00E37641"/>
    <w:rsid w:val="00E532F0"/>
    <w:rsid w:val="00E71F25"/>
    <w:rsid w:val="00E74405"/>
    <w:rsid w:val="00E75F2D"/>
    <w:rsid w:val="00E777B3"/>
    <w:rsid w:val="00E777CE"/>
    <w:rsid w:val="00E961AC"/>
    <w:rsid w:val="00EA02AC"/>
    <w:rsid w:val="00EA035E"/>
    <w:rsid w:val="00EB33BB"/>
    <w:rsid w:val="00EB4FCE"/>
    <w:rsid w:val="00EC5373"/>
    <w:rsid w:val="00ED1A24"/>
    <w:rsid w:val="00EE1CFA"/>
    <w:rsid w:val="00EE3088"/>
    <w:rsid w:val="00EE31D2"/>
    <w:rsid w:val="00EF0EBD"/>
    <w:rsid w:val="00EF25E9"/>
    <w:rsid w:val="00EF3902"/>
    <w:rsid w:val="00EF51D9"/>
    <w:rsid w:val="00F00A91"/>
    <w:rsid w:val="00F0794B"/>
    <w:rsid w:val="00F22390"/>
    <w:rsid w:val="00F25ACC"/>
    <w:rsid w:val="00F34145"/>
    <w:rsid w:val="00F43C84"/>
    <w:rsid w:val="00F524A2"/>
    <w:rsid w:val="00F54F5D"/>
    <w:rsid w:val="00F554D8"/>
    <w:rsid w:val="00F57F8F"/>
    <w:rsid w:val="00F64E8F"/>
    <w:rsid w:val="00F71E4A"/>
    <w:rsid w:val="00F92850"/>
    <w:rsid w:val="00F92BAC"/>
    <w:rsid w:val="00F94C4E"/>
    <w:rsid w:val="00F95DC4"/>
    <w:rsid w:val="00F96B66"/>
    <w:rsid w:val="00FA039D"/>
    <w:rsid w:val="00FD0AEA"/>
    <w:rsid w:val="00FE0D06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05048F"/>
    <w:pPr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4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0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05048F"/>
    <w:pPr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4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0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 b="0">
                <a:latin typeface="Times New Roman" pitchFamily="18" charset="0"/>
                <a:cs typeface="Times New Roman" pitchFamily="18" charset="0"/>
              </a:rPr>
              <a:t>Рис.</a:t>
            </a:r>
            <a:r>
              <a:rPr lang="ru-RU" sz="1100" b="0" baseline="0">
                <a:latin typeface="Times New Roman" pitchFamily="18" charset="0"/>
                <a:cs typeface="Times New Roman" pitchFamily="18" charset="0"/>
              </a:rPr>
              <a:t> 1 . Финансирование городских целевых, долгосрочных и ведомственных целевых программ из городского бюджета, тыс. руб.</a:t>
            </a:r>
            <a:endParaRPr lang="ru-RU" sz="11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3170510944196492"/>
          <c:y val="0.8103254005761996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8017000203054848"/>
          <c:y val="0.10938967136150235"/>
          <c:w val="0.75600591115222349"/>
          <c:h val="0.618471228736285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План</c:v>
                </c:pt>
              </c:strCache>
            </c:strRef>
          </c:tx>
          <c:spPr>
            <a:solidFill>
              <a:srgbClr val="99FF66"/>
            </a:solidFill>
            <a:ln w="9525" cap="sq">
              <a:solidFill>
                <a:schemeClr val="tx1"/>
              </a:solidFill>
              <a:prstDash val="solid"/>
              <a:round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 sz="95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sz="950"/>
                      <a:t>407</a:t>
                    </a:r>
                    <a:r>
                      <a:rPr lang="ru-RU" sz="950"/>
                      <a:t> </a:t>
                    </a:r>
                    <a:r>
                      <a:rPr lang="en-US" sz="950"/>
                      <a:t>043,0</a:t>
                    </a:r>
                    <a:endParaRPr lang="en-US"/>
                  </a:p>
                </c:rich>
              </c:tx>
              <c:numFmt formatCode="#,##0" sourceLinked="0"/>
              <c:spPr>
                <a:noFill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950"/>
                      <a:t>877</a:t>
                    </a:r>
                    <a:r>
                      <a:rPr lang="ru-RU" sz="950"/>
                      <a:t> </a:t>
                    </a:r>
                    <a:r>
                      <a:rPr lang="en-US" sz="950"/>
                      <a:t>722,0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95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Лист1!$B$1:$C$1</c:f>
              <c:numCache>
                <c:formatCode>0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Лист1!$B$2:$C$2</c:f>
              <c:numCache>
                <c:formatCode>0.0</c:formatCode>
                <c:ptCount val="2"/>
                <c:pt idx="0">
                  <c:v>407043</c:v>
                </c:pt>
                <c:pt idx="1">
                  <c:v>877722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Факт</c:v>
                </c:pt>
              </c:strCache>
            </c:strRef>
          </c:tx>
          <c:spPr>
            <a:solidFill>
              <a:srgbClr val="FFFF66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sz="950"/>
                      <a:t>383</a:t>
                    </a:r>
                    <a:r>
                      <a:rPr lang="ru-RU" sz="950"/>
                      <a:t> </a:t>
                    </a:r>
                    <a:r>
                      <a:rPr lang="en-US" sz="950"/>
                      <a:t>925,0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950"/>
                      <a:t>854</a:t>
                    </a:r>
                    <a:r>
                      <a:rPr lang="ru-RU" sz="950"/>
                      <a:t> </a:t>
                    </a:r>
                    <a:r>
                      <a:rPr lang="en-US" sz="950"/>
                      <a:t>590,0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95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Лист1!$B$1:$C$1</c:f>
              <c:numCache>
                <c:formatCode>0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Лист1!$B$3:$C$3</c:f>
              <c:numCache>
                <c:formatCode>0.0</c:formatCode>
                <c:ptCount val="2"/>
                <c:pt idx="0">
                  <c:v>383925</c:v>
                </c:pt>
                <c:pt idx="1">
                  <c:v>854590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4863616"/>
        <c:axId val="124865152"/>
      </c:barChart>
      <c:catAx>
        <c:axId val="124863616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4865152"/>
        <c:crosses val="autoZero"/>
        <c:auto val="1"/>
        <c:lblAlgn val="ctr"/>
        <c:lblOffset val="100"/>
        <c:noMultiLvlLbl val="0"/>
      </c:catAx>
      <c:valAx>
        <c:axId val="12486515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>
                    <a:latin typeface="Times New Roman" pitchFamily="18" charset="0"/>
                    <a:cs typeface="Times New Roman" pitchFamily="18" charset="0"/>
                  </a:rPr>
                  <a:t>тыс. руб.</a:t>
                </a:r>
              </a:p>
            </c:rich>
          </c:tx>
          <c:overlay val="0"/>
        </c:title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4863616"/>
        <c:crosses val="autoZero"/>
        <c:crossBetween val="between"/>
        <c:majorUnit val="150000"/>
      </c:valAx>
    </c:plotArea>
    <c:legend>
      <c:legendPos val="r"/>
      <c:layout>
        <c:manualLayout>
          <c:xMode val="edge"/>
          <c:yMode val="edge"/>
          <c:x val="0.25081955192563682"/>
          <c:y val="0.17283971605821999"/>
          <c:w val="0.19313755135446775"/>
          <c:h val="0.1116593640443978"/>
        </c:manualLayout>
      </c:layout>
      <c:overlay val="0"/>
      <c:spPr>
        <a:solidFill>
          <a:schemeClr val="bg1"/>
        </a:solidFill>
        <a:ln>
          <a:solidFill>
            <a:schemeClr val="tx1"/>
          </a:solidFill>
        </a:ln>
      </c:spPr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100" b="0">
                <a:latin typeface="Times New Roman" pitchFamily="18" charset="0"/>
                <a:cs typeface="Times New Roman" pitchFamily="18" charset="0"/>
              </a:rPr>
              <a:t>Рис. 2. Структура источников финансирования программ (доля источника, % от общей суммы)</a:t>
            </a:r>
          </a:p>
        </c:rich>
      </c:tx>
      <c:layout>
        <c:manualLayout>
          <c:xMode val="edge"/>
          <c:yMode val="edge"/>
          <c:x val="0.12850699912510935"/>
          <c:y val="0.86620230163537248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7173862642169732"/>
          <c:y val="0.15195940431606395"/>
          <c:w val="0.7536515748031497"/>
          <c:h val="0.5401435465203902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Лист2!$A$2</c:f>
              <c:strCache>
                <c:ptCount val="1"/>
                <c:pt idx="0">
                  <c:v>Местный бюджет</c:v>
                </c:pt>
              </c:strCache>
            </c:strRef>
          </c:tx>
          <c:spPr>
            <a:solidFill>
              <a:srgbClr val="CC99FF"/>
            </a:solidFill>
            <a:ln>
              <a:solidFill>
                <a:schemeClr val="tx1"/>
              </a:solidFill>
            </a:ln>
          </c:spPr>
          <c:invertIfNegative val="0"/>
          <c:dLbls>
            <c:spPr>
              <a:noFill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Лист2!$B$1:$C$1</c:f>
              <c:strCache>
                <c:ptCount val="2"/>
                <c:pt idx="0">
                  <c:v>2011 год</c:v>
                </c:pt>
                <c:pt idx="1">
                  <c:v>2012 год</c:v>
                </c:pt>
              </c:strCache>
            </c:strRef>
          </c:cat>
          <c:val>
            <c:numRef>
              <c:f>Лист2!$B$2:$C$2</c:f>
              <c:numCache>
                <c:formatCode>0.00</c:formatCode>
                <c:ptCount val="2"/>
                <c:pt idx="0">
                  <c:v>80.48</c:v>
                </c:pt>
                <c:pt idx="1">
                  <c:v>38.24</c:v>
                </c:pt>
              </c:numCache>
            </c:numRef>
          </c:val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Областной бюджет</c:v>
                </c:pt>
              </c:strCache>
            </c:strRef>
          </c:tx>
          <c:spPr>
            <a:solidFill>
              <a:srgbClr val="FFFF66"/>
            </a:solidFill>
            <a:ln>
              <a:solidFill>
                <a:schemeClr val="tx1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Лист2!$B$1:$C$1</c:f>
              <c:strCache>
                <c:ptCount val="2"/>
                <c:pt idx="0">
                  <c:v>2011 год</c:v>
                </c:pt>
                <c:pt idx="1">
                  <c:v>2012 год</c:v>
                </c:pt>
              </c:strCache>
            </c:strRef>
          </c:cat>
          <c:val>
            <c:numRef>
              <c:f>Лист2!$B$3:$C$3</c:f>
              <c:numCache>
                <c:formatCode>0.00</c:formatCode>
                <c:ptCount val="2"/>
                <c:pt idx="0">
                  <c:v>11.52</c:v>
                </c:pt>
                <c:pt idx="1">
                  <c:v>52.14</c:v>
                </c:pt>
              </c:numCache>
            </c:numRef>
          </c:val>
        </c:ser>
        <c:ser>
          <c:idx val="2"/>
          <c:order val="2"/>
          <c:tx>
            <c:strRef>
              <c:f>Лист2!$A$4</c:f>
              <c:strCache>
                <c:ptCount val="1"/>
                <c:pt idx="0">
                  <c:v>Федеральный бюджет</c:v>
                </c:pt>
              </c:strCache>
            </c:strRef>
          </c:tx>
          <c:spPr>
            <a:solidFill>
              <a:srgbClr val="99FF66"/>
            </a:solidFill>
            <a:ln>
              <a:solidFill>
                <a:schemeClr val="tx1"/>
              </a:solidFill>
            </a:ln>
          </c:spPr>
          <c:invertIfNegative val="0"/>
          <c:dLbls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Лист2!$B$1:$C$1</c:f>
              <c:strCache>
                <c:ptCount val="2"/>
                <c:pt idx="0">
                  <c:v>2011 год</c:v>
                </c:pt>
                <c:pt idx="1">
                  <c:v>2012 год</c:v>
                </c:pt>
              </c:strCache>
            </c:strRef>
          </c:cat>
          <c:val>
            <c:numRef>
              <c:f>Лист2!$B$4:$C$4</c:f>
              <c:numCache>
                <c:formatCode>0.00</c:formatCode>
                <c:ptCount val="2"/>
                <c:pt idx="0">
                  <c:v>8</c:v>
                </c:pt>
                <c:pt idx="1">
                  <c:v>9.6199999999999992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overlap val="100"/>
        <c:axId val="124075008"/>
        <c:axId val="142426880"/>
      </c:barChart>
      <c:catAx>
        <c:axId val="124075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2426880"/>
        <c:crosses val="autoZero"/>
        <c:auto val="1"/>
        <c:lblAlgn val="ctr"/>
        <c:lblOffset val="100"/>
        <c:noMultiLvlLbl val="0"/>
      </c:catAx>
      <c:valAx>
        <c:axId val="142426880"/>
        <c:scaling>
          <c:orientation val="minMax"/>
          <c:max val="10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>
                    <a:latin typeface="Times New Roman" pitchFamily="18" charset="0"/>
                    <a:cs typeface="Times New Roman" pitchFamily="18" charset="0"/>
                  </a:rPr>
                  <a:t>%</a:t>
                </a:r>
              </a:p>
            </c:rich>
          </c:tx>
          <c:overlay val="0"/>
        </c:title>
        <c:numFmt formatCode="0.0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4075008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5.5945756780402457E-2"/>
          <c:y val="0.76494456340303074"/>
          <c:w val="0.89477077865266841"/>
          <c:h val="8.9897145847018328E-2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0">
                <a:latin typeface="Times New Roman" pitchFamily="18" charset="0"/>
                <a:cs typeface="Times New Roman" pitchFamily="18" charset="0"/>
              </a:rPr>
              <a:t>Рис. 3.</a:t>
            </a: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 Финансирование программ в 2012 году по основным направлениям</a:t>
            </a:r>
          </a:p>
          <a:p>
            <a:pPr>
              <a:defRPr/>
            </a:pP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 (% к общей сумме финансирования программной части)</a:t>
            </a:r>
            <a:endParaRPr lang="ru-RU" sz="12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6353295626779046"/>
          <c:y val="0.79434897681814931"/>
        </c:manualLayout>
      </c:layout>
      <c:overlay val="0"/>
    </c:title>
    <c:autoTitleDeleted val="0"/>
    <c:view3D>
      <c:rotX val="2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487320246940961"/>
          <c:y val="0.1050919735661973"/>
          <c:w val="0.7813688957894348"/>
          <c:h val="0.65226261025547905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CC99FF"/>
              </a:solidFill>
            </c:spPr>
          </c:dPt>
          <c:dPt>
            <c:idx val="1"/>
            <c:bubble3D val="0"/>
            <c:spPr>
              <a:solidFill>
                <a:srgbClr val="FFFF66"/>
              </a:solidFill>
            </c:spPr>
          </c:dPt>
          <c:dPt>
            <c:idx val="3"/>
            <c:bubble3D val="0"/>
            <c:spPr>
              <a:solidFill>
                <a:srgbClr val="FF9999"/>
              </a:solidFill>
            </c:spPr>
          </c:dPt>
          <c:dPt>
            <c:idx val="4"/>
            <c:bubble3D val="0"/>
            <c:spPr>
              <a:solidFill>
                <a:srgbClr val="33CCFF"/>
              </a:solidFill>
            </c:spPr>
          </c:dPt>
          <c:dPt>
            <c:idx val="5"/>
            <c:bubble3D val="0"/>
            <c:spPr>
              <a:solidFill>
                <a:srgbClr val="66FF33"/>
              </a:solidFill>
            </c:spPr>
          </c:dPt>
          <c:dLbls>
            <c:dLbl>
              <c:idx val="0"/>
              <c:layout>
                <c:manualLayout>
                  <c:x val="-7.285165058593028E-2"/>
                  <c:y val="-0.4148420519762073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4.9181730804776169E-2"/>
                  <c:y val="-1.6884288834964811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4.6948356807511738E-3"/>
                  <c:y val="-7.629789200878192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7.7078740157480313E-2"/>
                  <c:y val="-4.9150627004957712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1.295468756845455E-2"/>
                  <c:y val="-3.360269848003559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5.4858923884514438E-3"/>
                  <c:y val="-2.6020705745115193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Лист3!$A$1:$A$6</c:f>
              <c:strCache>
                <c:ptCount val="6"/>
                <c:pt idx="0">
                  <c:v>Образование и молодежная политика</c:v>
                </c:pt>
                <c:pt idx="1">
                  <c:v>Соц. политика</c:v>
                </c:pt>
                <c:pt idx="2">
                  <c:v>Культура и туризм</c:v>
                </c:pt>
                <c:pt idx="3">
                  <c:v>ЖКХ</c:v>
                </c:pt>
                <c:pt idx="4">
                  <c:v>Физкультура и спорт</c:v>
                </c:pt>
                <c:pt idx="5">
                  <c:v>Прочие</c:v>
                </c:pt>
              </c:strCache>
            </c:strRef>
          </c:cat>
          <c:val>
            <c:numRef>
              <c:f>Лист3!$B$1:$B$6</c:f>
              <c:numCache>
                <c:formatCode>#,##0.00_р_.</c:formatCode>
                <c:ptCount val="6"/>
                <c:pt idx="0">
                  <c:v>480815078.74000001</c:v>
                </c:pt>
                <c:pt idx="1">
                  <c:v>169760429.16999999</c:v>
                </c:pt>
                <c:pt idx="2">
                  <c:v>5518140</c:v>
                </c:pt>
                <c:pt idx="3">
                  <c:v>101888975.05000001</c:v>
                </c:pt>
                <c:pt idx="4">
                  <c:v>47411648.530000001</c:v>
                </c:pt>
                <c:pt idx="5">
                  <c:v>72327350.50999999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0.23833</cdr:x>
      <cdr:y>0.73998</cdr:y>
    </cdr:from>
    <cdr:to>
      <cdr:x>0.59</cdr:x>
      <cdr:y>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089660" y="2602230"/>
          <a:ext cx="160782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0.8</cdr:x>
      <cdr:y>0.73998</cdr:y>
    </cdr:from>
    <cdr:to>
      <cdr:x>1</cdr:x>
      <cdr:y>1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4076700" y="315087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komp</cp:lastModifiedBy>
  <cp:revision>4</cp:revision>
  <dcterms:created xsi:type="dcterms:W3CDTF">2013-08-01T06:19:00Z</dcterms:created>
  <dcterms:modified xsi:type="dcterms:W3CDTF">2013-08-02T11:26:00Z</dcterms:modified>
</cp:coreProperties>
</file>