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46B" w:rsidRPr="00CE6A17" w:rsidRDefault="0000746B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00746B" w:rsidRDefault="0000746B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0260DF" w:rsidRPr="00743E0E" w:rsidRDefault="000260DF" w:rsidP="000260D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43E0E">
        <w:rPr>
          <w:rFonts w:ascii="Times New Roman" w:eastAsia="Calibri" w:hAnsi="Times New Roman"/>
          <w:sz w:val="24"/>
          <w:szCs w:val="24"/>
          <w:u w:val="single"/>
        </w:rPr>
        <w:t>решение Переславль-Залесской городской Думы «</w:t>
      </w:r>
      <w:r w:rsidRPr="00D51950">
        <w:rPr>
          <w:rFonts w:ascii="Times New Roman" w:hAnsi="Times New Roman"/>
          <w:sz w:val="24"/>
          <w:szCs w:val="24"/>
          <w:u w:val="single"/>
        </w:rPr>
        <w:t>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</w:r>
    </w:p>
    <w:p w:rsidR="0000746B" w:rsidRDefault="0000746B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 xml:space="preserve"> (указывается вид и наименование проекта муниципального нормативного правового акта)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528"/>
        <w:gridCol w:w="4851"/>
      </w:tblGrid>
      <w:tr w:rsidR="0000746B" w:rsidRPr="00CE6A17" w:rsidTr="00306814">
        <w:tc>
          <w:tcPr>
            <w:tcW w:w="9955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95065">
              <w:rPr>
                <w:rFonts w:eastAsia="Calibri"/>
                <w:sz w:val="24"/>
                <w:szCs w:val="24"/>
              </w:rPr>
              <w:t xml:space="preserve">правление архитектуры и градостроительства Администрации </w:t>
            </w:r>
            <w:r>
              <w:rPr>
                <w:rFonts w:eastAsia="Calibri"/>
                <w:sz w:val="24"/>
                <w:szCs w:val="24"/>
              </w:rPr>
              <w:t xml:space="preserve">города </w:t>
            </w:r>
            <w:r w:rsidRPr="00B95065">
              <w:rPr>
                <w:rFonts w:eastAsia="Calibri"/>
                <w:sz w:val="24"/>
                <w:szCs w:val="24"/>
              </w:rPr>
              <w:t>Переславля-Залесского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00746B" w:rsidRPr="007706D7" w:rsidRDefault="000260DF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270EC">
              <w:rPr>
                <w:rFonts w:eastAsia="Calibri"/>
                <w:sz w:val="24"/>
                <w:szCs w:val="24"/>
              </w:rPr>
              <w:t xml:space="preserve">решение Переславль-Залесской городской Думы </w:t>
            </w:r>
            <w:r w:rsidRPr="00D51950">
              <w:rPr>
                <w:rFonts w:eastAsia="Calibri"/>
                <w:sz w:val="24"/>
                <w:szCs w:val="24"/>
              </w:rPr>
              <w:t>«О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00746B" w:rsidRPr="007706D7" w:rsidRDefault="000260DF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D51950">
              <w:rPr>
                <w:sz w:val="24"/>
                <w:szCs w:val="24"/>
                <w:shd w:val="clear" w:color="auto" w:fill="FFFFFF"/>
              </w:rPr>
              <w:t>Решением вносятся изменения в действующее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4851" w:type="dxa"/>
          </w:tcPr>
          <w:p w:rsidR="0000746B" w:rsidRPr="00590394" w:rsidRDefault="000260DF" w:rsidP="00306814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D51950">
              <w:rPr>
                <w:sz w:val="24"/>
                <w:szCs w:val="24"/>
              </w:rPr>
              <w:t>Изменения в решение требуется в связи с вступлением в силу приказа Министерства строительства и жилищно-коммунального хозяйства Российской Федерации от 16.09.2020 № 512/</w:t>
            </w:r>
            <w:proofErr w:type="spellStart"/>
            <w:r w:rsidRPr="00D51950">
              <w:rPr>
                <w:sz w:val="24"/>
                <w:szCs w:val="24"/>
              </w:rPr>
              <w:t>пр</w:t>
            </w:r>
            <w:proofErr w:type="spellEnd"/>
            <w:r w:rsidRPr="00D51950">
              <w:rPr>
                <w:sz w:val="24"/>
                <w:szCs w:val="24"/>
              </w:rPr>
              <w:t xml:space="preserve"> «Об отмене приказала Министерства строительства и жилищно-коммунального хозяйства Российской Федерации от 13 апреля 2017 г. № 711/</w:t>
            </w:r>
            <w:proofErr w:type="spellStart"/>
            <w:r w:rsidRPr="00D51950">
              <w:rPr>
                <w:sz w:val="24"/>
                <w:szCs w:val="24"/>
              </w:rPr>
              <w:t>пр</w:t>
            </w:r>
            <w:proofErr w:type="spellEnd"/>
            <w:r w:rsidRPr="00D51950">
              <w:rPr>
                <w:sz w:val="24"/>
                <w:szCs w:val="24"/>
              </w:rPr>
      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1.5.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4851" w:type="dxa"/>
          </w:tcPr>
          <w:p w:rsidR="00306814" w:rsidRDefault="00306814" w:rsidP="00306814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 w:rsidRPr="00D51950">
              <w:rPr>
                <w:rFonts w:eastAsia="Calibri"/>
                <w:sz w:val="24"/>
                <w:szCs w:val="24"/>
              </w:rPr>
              <w:t>01.12.2021 года – планируемый срок вступления в силу решения;</w:t>
            </w:r>
          </w:p>
          <w:p w:rsidR="00306814" w:rsidRPr="00D51950" w:rsidRDefault="00306814" w:rsidP="00306814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  <w:p w:rsidR="0000746B" w:rsidRPr="007706D7" w:rsidRDefault="00306814" w:rsidP="00306814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D51950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Сведения о соответствии проекта муниципального нормативного </w:t>
            </w:r>
            <w:r w:rsidRPr="00CE6A17">
              <w:rPr>
                <w:sz w:val="24"/>
                <w:szCs w:val="24"/>
              </w:rPr>
              <w:lastRenderedPageBreak/>
              <w:t>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4851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Проект муниципального нормативного правового акта 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5065">
              <w:rPr>
                <w:rFonts w:eastAsia="Calibri"/>
                <w:sz w:val="24"/>
                <w:szCs w:val="24"/>
              </w:rPr>
              <w:t xml:space="preserve">противоречит </w:t>
            </w:r>
            <w:r w:rsidRPr="00B95065">
              <w:rPr>
                <w:rFonts w:eastAsia="Calibri"/>
                <w:sz w:val="24"/>
                <w:szCs w:val="24"/>
              </w:rPr>
              <w:lastRenderedPageBreak/>
              <w:t>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1.7.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00746B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164572">
              <w:rPr>
                <w:sz w:val="24"/>
                <w:szCs w:val="24"/>
              </w:rPr>
              <w:t xml:space="preserve">Полный электронный адрес размещения извещения о начале публичного обсуждения </w:t>
            </w:r>
            <w:r w:rsidRPr="00CE6A17">
              <w:rPr>
                <w:sz w:val="24"/>
                <w:szCs w:val="24"/>
              </w:rPr>
              <w:t>проекта муниципальн</w:t>
            </w:r>
            <w:r>
              <w:rPr>
                <w:sz w:val="24"/>
                <w:szCs w:val="24"/>
              </w:rPr>
              <w:t>ого нормативного правового акта</w:t>
            </w:r>
          </w:p>
          <w:p w:rsidR="006A7076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</w:t>
            </w:r>
            <w:r>
              <w:rPr>
                <w:sz w:val="24"/>
                <w:szCs w:val="24"/>
              </w:rPr>
              <w:t xml:space="preserve">предложения в связи с размещением извещения о проведении публичного </w:t>
            </w:r>
            <w:r w:rsidRPr="00FE5764">
              <w:rPr>
                <w:sz w:val="24"/>
                <w:szCs w:val="24"/>
              </w:rPr>
              <w:t xml:space="preserve">обсуждения </w:t>
            </w:r>
          </w:p>
          <w:p w:rsidR="006A7076" w:rsidRPr="00FE5764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spacing w:after="0"/>
              <w:jc w:val="both"/>
              <w:rPr>
                <w:rFonts w:ascii="Times New Roman" w:hAnsi="Times New Roman"/>
              </w:rPr>
            </w:pPr>
            <w:r w:rsidRPr="00FE5764">
              <w:rPr>
                <w:rFonts w:ascii="Times New Roman" w:hAnsi="Times New Roman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00746B" w:rsidRPr="00FE5764" w:rsidRDefault="0000746B" w:rsidP="00FE5764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4851" w:type="dxa"/>
            <w:vAlign w:val="center"/>
          </w:tcPr>
          <w:p w:rsidR="000260DF" w:rsidRDefault="000260DF" w:rsidP="000260D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D51950">
              <w:t>https://admpereslavl.ru/dokumenty-uaig-761041</w:t>
            </w:r>
            <w:r w:rsidRPr="00D51950">
              <w:rPr>
                <w:rFonts w:eastAsia="Calibri"/>
              </w:rPr>
              <w:t xml:space="preserve"> </w:t>
            </w:r>
          </w:p>
          <w:p w:rsidR="0000746B" w:rsidRPr="0059039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590394" w:rsidRDefault="0000746B" w:rsidP="006A7076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15.09.2021 по 22.09.2021</w:t>
            </w: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Размещен на официальном сайте органов местного самоуправления города Переславля-Залесского 24.09.2021</w:t>
            </w:r>
          </w:p>
          <w:p w:rsidR="0000746B" w:rsidRPr="00FE576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Pr="00306814" w:rsidRDefault="00306814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06814">
              <w:rPr>
                <w:sz w:val="24"/>
                <w:szCs w:val="24"/>
              </w:rPr>
              <w:t>https://admpereslavl.ru/dokumenty-uaig-761041</w:t>
            </w:r>
            <w:r w:rsidRPr="00306814">
              <w:rPr>
                <w:rFonts w:eastAsia="Calibri"/>
                <w:sz w:val="24"/>
                <w:szCs w:val="24"/>
              </w:rPr>
              <w:t xml:space="preserve"> </w:t>
            </w: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306814" w:rsidP="006A70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814">
              <w:rPr>
                <w:rFonts w:ascii="Times New Roman" w:eastAsia="Calibri" w:hAnsi="Times New Roman"/>
                <w:sz w:val="24"/>
                <w:szCs w:val="24"/>
              </w:rPr>
              <w:t>с 27.09.2021 по 12.10.2021</w:t>
            </w:r>
          </w:p>
          <w:p w:rsidR="00306814" w:rsidRDefault="00306814" w:rsidP="006A7076">
            <w:pPr>
              <w:jc w:val="both"/>
              <w:rPr>
                <w:rFonts w:ascii="Times New Roman" w:hAnsi="Times New Roman"/>
              </w:rPr>
            </w:pPr>
          </w:p>
          <w:p w:rsidR="006A7076" w:rsidRPr="00306814" w:rsidRDefault="006A7076" w:rsidP="006A707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306814" w:rsidRPr="00FE576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="006A7076">
              <w:rPr>
                <w:rFonts w:eastAsia="Calibri"/>
                <w:sz w:val="24"/>
                <w:szCs w:val="24"/>
              </w:rPr>
              <w:t>15.10.2021</w:t>
            </w:r>
          </w:p>
          <w:p w:rsidR="0000746B" w:rsidRPr="00FE5764" w:rsidRDefault="0000746B" w:rsidP="00FE5764"/>
        </w:tc>
      </w:tr>
      <w:tr w:rsidR="0000746B" w:rsidRPr="00CE6A17" w:rsidTr="00306814">
        <w:tc>
          <w:tcPr>
            <w:tcW w:w="9955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4851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485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4851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>
              <w:rPr>
                <w:sz w:val="24"/>
                <w:szCs w:val="24"/>
              </w:rPr>
              <w:t xml:space="preserve">городского округа </w:t>
            </w:r>
            <w:r w:rsidRPr="00B95065">
              <w:rPr>
                <w:sz w:val="24"/>
                <w:szCs w:val="24"/>
              </w:rPr>
              <w:t>город Переславл</w:t>
            </w:r>
            <w:r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-Залесск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4851" w:type="dxa"/>
          </w:tcPr>
          <w:p w:rsidR="0000746B" w:rsidRPr="00CE6A17" w:rsidRDefault="000260DF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260DF">
              <w:rPr>
                <w:rFonts w:eastAsia="Calibri"/>
                <w:sz w:val="24"/>
                <w:szCs w:val="24"/>
              </w:rPr>
              <w:t>Проектом не предусмотрено</w:t>
            </w:r>
            <w:bookmarkStart w:id="0" w:name="_GoBack"/>
            <w:bookmarkEnd w:id="0"/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Новые полномочия, обязанности и права </w:t>
            </w:r>
            <w:r w:rsidRPr="00CE6A17">
              <w:rPr>
                <w:sz w:val="24"/>
                <w:szCs w:val="24"/>
              </w:rPr>
              <w:lastRenderedPageBreak/>
              <w:t>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4851" w:type="dxa"/>
          </w:tcPr>
          <w:p w:rsidR="0000746B" w:rsidRPr="00CE6A17" w:rsidRDefault="006A707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Проектом не предусмотрено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4851" w:type="dxa"/>
          </w:tcPr>
          <w:p w:rsidR="0000746B" w:rsidRPr="00590394" w:rsidRDefault="006A7076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 w:rsidRPr="00B95065">
              <w:rPr>
                <w:rFonts w:eastAsia="Calibri"/>
                <w:sz w:val="24"/>
                <w:szCs w:val="24"/>
              </w:rPr>
              <w:t>Не проводилась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4851" w:type="dxa"/>
          </w:tcPr>
          <w:p w:rsidR="0000746B" w:rsidRPr="00CE6A17" w:rsidRDefault="006A7076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>
              <w:rPr>
                <w:sz w:val="24"/>
                <w:szCs w:val="24"/>
              </w:rPr>
              <w:t xml:space="preserve">городского округа город </w:t>
            </w:r>
            <w:r w:rsidRPr="00B95065">
              <w:rPr>
                <w:sz w:val="24"/>
                <w:szCs w:val="24"/>
              </w:rPr>
              <w:t>Переславл</w:t>
            </w:r>
            <w:r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</w:t>
            </w:r>
            <w:r>
              <w:rPr>
                <w:sz w:val="24"/>
                <w:szCs w:val="24"/>
              </w:rPr>
              <w:t>кий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4851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00746B" w:rsidRPr="00CE6A17" w:rsidTr="00306814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528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4851" w:type="dxa"/>
          </w:tcPr>
          <w:p w:rsidR="0000746B" w:rsidRPr="00CE6A17" w:rsidRDefault="006A707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имеется</w:t>
            </w:r>
          </w:p>
        </w:tc>
      </w:tr>
    </w:tbl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0746B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C11"/>
    <w:rsid w:val="0000746B"/>
    <w:rsid w:val="00017C11"/>
    <w:rsid w:val="00017D9A"/>
    <w:rsid w:val="000260DF"/>
    <w:rsid w:val="000A11F8"/>
    <w:rsid w:val="000A6F11"/>
    <w:rsid w:val="000B7420"/>
    <w:rsid w:val="00102AE5"/>
    <w:rsid w:val="001262B3"/>
    <w:rsid w:val="00131DF3"/>
    <w:rsid w:val="00162C16"/>
    <w:rsid w:val="00164572"/>
    <w:rsid w:val="0016603E"/>
    <w:rsid w:val="001678B8"/>
    <w:rsid w:val="00194AE1"/>
    <w:rsid w:val="001C3738"/>
    <w:rsid w:val="00230C81"/>
    <w:rsid w:val="00263C86"/>
    <w:rsid w:val="00284FC5"/>
    <w:rsid w:val="002C2A7A"/>
    <w:rsid w:val="00306814"/>
    <w:rsid w:val="003111EE"/>
    <w:rsid w:val="0032252B"/>
    <w:rsid w:val="00350D4D"/>
    <w:rsid w:val="0037502F"/>
    <w:rsid w:val="003D209D"/>
    <w:rsid w:val="00402495"/>
    <w:rsid w:val="00571EF7"/>
    <w:rsid w:val="00590394"/>
    <w:rsid w:val="005A03CC"/>
    <w:rsid w:val="006048A3"/>
    <w:rsid w:val="006243B1"/>
    <w:rsid w:val="006A7076"/>
    <w:rsid w:val="007126AD"/>
    <w:rsid w:val="007152B6"/>
    <w:rsid w:val="0072197B"/>
    <w:rsid w:val="007706D7"/>
    <w:rsid w:val="007C793A"/>
    <w:rsid w:val="008908D4"/>
    <w:rsid w:val="009364AF"/>
    <w:rsid w:val="00A2102E"/>
    <w:rsid w:val="00A30C9A"/>
    <w:rsid w:val="00A8337C"/>
    <w:rsid w:val="00A962B3"/>
    <w:rsid w:val="00AB473C"/>
    <w:rsid w:val="00AC7320"/>
    <w:rsid w:val="00AD4A45"/>
    <w:rsid w:val="00B21C6C"/>
    <w:rsid w:val="00B52108"/>
    <w:rsid w:val="00B95065"/>
    <w:rsid w:val="00BA6038"/>
    <w:rsid w:val="00BC22E6"/>
    <w:rsid w:val="00C32958"/>
    <w:rsid w:val="00C54496"/>
    <w:rsid w:val="00C867B0"/>
    <w:rsid w:val="00CA71A6"/>
    <w:rsid w:val="00CC7055"/>
    <w:rsid w:val="00CE6A17"/>
    <w:rsid w:val="00D24D59"/>
    <w:rsid w:val="00D468BF"/>
    <w:rsid w:val="00D91FFF"/>
    <w:rsid w:val="00DD28C7"/>
    <w:rsid w:val="00E260E0"/>
    <w:rsid w:val="00E333B3"/>
    <w:rsid w:val="00E35C7F"/>
    <w:rsid w:val="00E42C93"/>
    <w:rsid w:val="00FB6C1E"/>
    <w:rsid w:val="00FE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677EB0-EAA2-4FFF-A88E-3772ECF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  <w:style w:type="character" w:customStyle="1" w:styleId="blk">
    <w:name w:val="blk"/>
    <w:uiPriority w:val="99"/>
    <w:rsid w:val="00FE57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0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24</cp:revision>
  <cp:lastPrinted>2020-08-17T13:07:00Z</cp:lastPrinted>
  <dcterms:created xsi:type="dcterms:W3CDTF">2019-04-24T15:02:00Z</dcterms:created>
  <dcterms:modified xsi:type="dcterms:W3CDTF">2021-10-15T12:17:00Z</dcterms:modified>
</cp:coreProperties>
</file>