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A415EF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городского округа города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Переславл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>-Залесско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Ярославской области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.20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ПОС.03-2383/19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«Об утверждении 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>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орядка </w:t>
            </w:r>
            <w:r w:rsidRPr="006C2657">
              <w:rPr>
                <w:sz w:val="26"/>
                <w:szCs w:val="26"/>
              </w:rPr>
              <w:t>конкурсного отбора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городского округа города Переславля-Залесского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052ECC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1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A415EF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2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251302"/>
    <w:rsid w:val="00260174"/>
    <w:rsid w:val="003E38E6"/>
    <w:rsid w:val="004F71C7"/>
    <w:rsid w:val="00691DA5"/>
    <w:rsid w:val="007F44BD"/>
    <w:rsid w:val="007F6262"/>
    <w:rsid w:val="00852346"/>
    <w:rsid w:val="009D631F"/>
    <w:rsid w:val="009F4C6C"/>
    <w:rsid w:val="00A415EF"/>
    <w:rsid w:val="00B15E8B"/>
    <w:rsid w:val="00B7752B"/>
    <w:rsid w:val="00D61900"/>
    <w:rsid w:val="00D7001A"/>
    <w:rsid w:val="00DB4E01"/>
    <w:rsid w:val="00E53587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3F30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23</cp:revision>
  <dcterms:created xsi:type="dcterms:W3CDTF">2019-07-10T08:54:00Z</dcterms:created>
  <dcterms:modified xsi:type="dcterms:W3CDTF">2023-05-19T06:28:00Z</dcterms:modified>
</cp:coreProperties>
</file>